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67752dsctot.htm"/>
      <w:bookmarkStart w:id="1" w:name="ksd67752dsctot"/>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2"/>
        </w:rPr>
      </w:pPr>
      <w:r>
        <w:rPr>
          <w:rFonts w:ascii="Times New Roman" w:hAnsi="Times New Roman"/>
          <w:b/>
          <w:sz w:val="32"/>
        </w:rPr>
        <w:t xml:space="preserve">UNITED STATES </w:t>
      </w:r>
    </w:p>
    <w:p>
      <w:pPr>
        <w:pStyle w:val="TextBody"/>
        <w:bidi w:val="0"/>
        <w:spacing w:before="0" w:after="0"/>
        <w:jc w:val="center"/>
        <w:rPr>
          <w:rFonts w:ascii="Times New Roman" w:hAnsi="Times New Roman"/>
          <w:b/>
          <w:sz w:val="32"/>
        </w:rPr>
      </w:pPr>
      <w:r>
        <w:rPr>
          <w:rFonts w:ascii="Times New Roman" w:hAnsi="Times New Roman"/>
          <w:b/>
          <w:sz w:val="32"/>
        </w:rPr>
        <w:t xml:space="preserve">SECURITIES AND EXCHANGE COMMISSION </w:t>
      </w:r>
    </w:p>
    <w:p>
      <w:pPr>
        <w:pStyle w:val="TextBody"/>
        <w:bidi w:val="0"/>
        <w:spacing w:before="0" w:after="0"/>
        <w:jc w:val="center"/>
        <w:rPr>
          <w:rFonts w:ascii="Times New Roman" w:hAnsi="Times New Roman"/>
          <w:b/>
          <w:sz w:val="22"/>
        </w:rPr>
      </w:pPr>
      <w:r>
        <w:rPr>
          <w:rFonts w:ascii="Times New Roman" w:hAnsi="Times New Roman"/>
          <w:b/>
          <w:sz w:val="22"/>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2"/>
        </w:rPr>
      </w:pPr>
      <w:r>
        <w:rPr>
          <w:rFonts w:ascii="Times New Roman" w:hAnsi="Times New Roman"/>
          <w:b/>
          <w:sz w:val="32"/>
        </w:rPr>
        <w:t xml:space="preserve">SCHEDULE TO </w:t>
      </w:r>
    </w:p>
    <w:p>
      <w:pPr>
        <w:pStyle w:val="TextBody"/>
        <w:bidi w:val="0"/>
        <w:spacing w:before="240" w:after="0"/>
        <w:jc w:val="center"/>
        <w:rPr>
          <w:rFonts w:ascii="Times New Roman" w:hAnsi="Times New Roman"/>
          <w:b/>
          <w:sz w:val="22"/>
        </w:rPr>
      </w:pPr>
      <w:r>
        <w:rPr>
          <w:rFonts w:ascii="Times New Roman" w:hAnsi="Times New Roman"/>
          <w:b/>
          <w:sz w:val="22"/>
        </w:rPr>
        <w:t xml:space="preserve">Tender Offer Statement under Section 14(d)(1) or 13(e)(1) </w:t>
      </w:r>
    </w:p>
    <w:p>
      <w:pPr>
        <w:pStyle w:val="TextBody"/>
        <w:bidi w:val="0"/>
        <w:spacing w:before="0" w:after="0"/>
        <w:jc w:val="center"/>
        <w:rPr>
          <w:rFonts w:ascii="Times New Roman" w:hAnsi="Times New Roman"/>
          <w:b/>
          <w:sz w:val="22"/>
        </w:rPr>
      </w:pPr>
      <w:r>
        <w:rPr>
          <w:rFonts w:ascii="Times New Roman" w:hAnsi="Times New Roman"/>
          <w:b/>
          <w:sz w:val="22"/>
        </w:rPr>
        <w:t xml:space="preserve">of the 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8"/>
        </w:rPr>
      </w:pPr>
      <w:r>
        <w:rPr>
          <w:rFonts w:ascii="Times New Roman" w:hAnsi="Times New Roman"/>
          <w:b/>
          <w:sz w:val="38"/>
        </w:rPr>
        <w:t xml:space="preserve">ADVERUM BIOTECHNOLOGIES, INC. </w:t>
      </w:r>
    </w:p>
    <w:p>
      <w:pPr>
        <w:pStyle w:val="TextBody"/>
        <w:bidi w:val="0"/>
        <w:spacing w:before="0" w:after="0"/>
        <w:jc w:val="center"/>
        <w:rPr>
          <w:rFonts w:ascii="Times New Roman" w:hAnsi="Times New Roman"/>
          <w:b/>
          <w:sz w:val="19"/>
        </w:rPr>
      </w:pPr>
      <w:r>
        <w:rPr>
          <w:rFonts w:ascii="Times New Roman" w:hAnsi="Times New Roman"/>
          <w:b/>
          <w:sz w:val="19"/>
        </w:rPr>
        <w:t xml:space="preserve">(Name of Subject Company (issuer))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8"/>
        </w:rPr>
      </w:pPr>
      <w:r>
        <w:rPr>
          <w:rFonts w:ascii="Times New Roman" w:hAnsi="Times New Roman"/>
          <w:b/>
          <w:sz w:val="38"/>
        </w:rPr>
        <w:t xml:space="preserve">FLYING TIGERS ACQUISITION CORPORATION </w:t>
      </w:r>
    </w:p>
    <w:p>
      <w:pPr>
        <w:pStyle w:val="TextBody"/>
        <w:bidi w:val="0"/>
        <w:spacing w:before="0" w:after="0"/>
        <w:jc w:val="center"/>
        <w:rPr>
          <w:rFonts w:ascii="Times New Roman" w:hAnsi="Times New Roman"/>
          <w:b/>
          <w:sz w:val="19"/>
        </w:rPr>
      </w:pPr>
      <w:r>
        <w:rPr>
          <w:rFonts w:ascii="Times New Roman" w:hAnsi="Times New Roman"/>
          <w:b/>
          <w:sz w:val="19"/>
        </w:rPr>
        <w:t xml:space="preserve">(Offeror) </w:t>
      </w:r>
    </w:p>
    <w:p>
      <w:pPr>
        <w:pStyle w:val="TextBody"/>
        <w:bidi w:val="0"/>
        <w:spacing w:before="0" w:after="0"/>
        <w:jc w:val="center"/>
        <w:rPr>
          <w:rFonts w:ascii="Times New Roman" w:hAnsi="Times New Roman"/>
          <w:b/>
          <w:sz w:val="19"/>
        </w:rPr>
      </w:pPr>
      <w:r>
        <w:rPr>
          <w:rFonts w:ascii="Times New Roman" w:hAnsi="Times New Roman"/>
          <w:b/>
          <w:sz w:val="19"/>
        </w:rPr>
        <w:t xml:space="preserve">a direct wholly-owned subsidiary of </w:t>
      </w:r>
    </w:p>
    <w:p>
      <w:pPr>
        <w:pStyle w:val="TextBody"/>
        <w:bidi w:val="0"/>
        <w:spacing w:before="240" w:after="0"/>
        <w:jc w:val="center"/>
        <w:rPr>
          <w:rFonts w:ascii="Times New Roman" w:hAnsi="Times New Roman"/>
          <w:b/>
          <w:sz w:val="38"/>
        </w:rPr>
      </w:pPr>
      <w:r>
        <w:rPr>
          <w:rFonts w:ascii="Times New Roman" w:hAnsi="Times New Roman"/>
          <w:b/>
          <w:sz w:val="38"/>
        </w:rPr>
        <w:t xml:space="preserve">ELI LILLY AND COMPANY </w:t>
      </w:r>
    </w:p>
    <w:p>
      <w:pPr>
        <w:pStyle w:val="TextBody"/>
        <w:bidi w:val="0"/>
        <w:spacing w:before="0" w:after="0"/>
        <w:jc w:val="center"/>
        <w:rPr>
          <w:rFonts w:ascii="Times New Roman" w:hAnsi="Times New Roman"/>
          <w:b/>
          <w:sz w:val="19"/>
        </w:rPr>
      </w:pPr>
      <w:r>
        <w:rPr>
          <w:rFonts w:ascii="Times New Roman" w:hAnsi="Times New Roman"/>
          <w:b/>
          <w:sz w:val="19"/>
        </w:rPr>
        <w:t xml:space="preserve">(Parent of Offeror) </w:t>
      </w:r>
    </w:p>
    <w:p>
      <w:pPr>
        <w:pStyle w:val="TextBody"/>
        <w:bidi w:val="0"/>
        <w:spacing w:before="0" w:after="0"/>
        <w:jc w:val="center"/>
        <w:rPr>
          <w:rFonts w:ascii="Times New Roman" w:hAnsi="Times New Roman"/>
          <w:b/>
          <w:sz w:val="19"/>
        </w:rPr>
      </w:pPr>
      <w:r>
        <w:rPr>
          <w:rFonts w:ascii="Times New Roman" w:hAnsi="Times New Roman"/>
          <w:b/>
          <w:sz w:val="19"/>
        </w:rPr>
        <w:t xml:space="preserve">(Names of Filing Persons (identifying status as offeror, issuer or other person))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19"/>
        </w:rPr>
      </w:pPr>
      <w:r>
        <w:rPr>
          <w:rFonts w:ascii="Times New Roman" w:hAnsi="Times New Roman"/>
          <w:b/>
          <w:sz w:val="19"/>
        </w:rPr>
        <w:t xml:space="preserve">Common stock, $0.0001 par value per share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of Securities) </w:t>
      </w:r>
    </w:p>
    <w:p>
      <w:pPr>
        <w:pStyle w:val="TextBody"/>
        <w:bidi w:val="0"/>
        <w:spacing w:before="240" w:after="0"/>
        <w:jc w:val="center"/>
        <w:rPr>
          <w:rFonts w:ascii="Times New Roman" w:hAnsi="Times New Roman"/>
          <w:b/>
          <w:sz w:val="19"/>
        </w:rPr>
      </w:pPr>
      <w:r>
        <w:rPr>
          <w:rFonts w:ascii="Times New Roman" w:hAnsi="Times New Roman"/>
          <w:b/>
          <w:sz w:val="19"/>
        </w:rPr>
        <w:t xml:space="preserve">00773U207 </w:t>
      </w:r>
    </w:p>
    <w:p>
      <w:pPr>
        <w:pStyle w:val="TextBody"/>
        <w:bidi w:val="0"/>
        <w:spacing w:before="0" w:after="0"/>
        <w:jc w:val="center"/>
        <w:rPr>
          <w:rFonts w:ascii="Times New Roman" w:hAnsi="Times New Roman"/>
          <w:b/>
          <w:sz w:val="16"/>
        </w:rPr>
      </w:pPr>
      <w:r>
        <w:rPr>
          <w:rFonts w:ascii="Times New Roman" w:hAnsi="Times New Roman"/>
          <w:b/>
          <w:sz w:val="16"/>
        </w:rPr>
        <w:t xml:space="preserve">(CUSIP Number of Class of Securities)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19"/>
        </w:rPr>
      </w:pPr>
      <w:r>
        <w:rPr>
          <w:rFonts w:ascii="Times New Roman" w:hAnsi="Times New Roman"/>
          <w:b/>
          <w:sz w:val="19"/>
        </w:rPr>
        <w:t xml:space="preserve">Anat Hakim </w:t>
      </w:r>
    </w:p>
    <w:p>
      <w:pPr>
        <w:pStyle w:val="TextBody"/>
        <w:bidi w:val="0"/>
        <w:spacing w:before="0" w:after="0"/>
        <w:jc w:val="center"/>
        <w:rPr>
          <w:rFonts w:ascii="Times New Roman" w:hAnsi="Times New Roman"/>
          <w:b/>
          <w:sz w:val="19"/>
        </w:rPr>
      </w:pPr>
      <w:r>
        <w:rPr>
          <w:rFonts w:ascii="Times New Roman" w:hAnsi="Times New Roman"/>
          <w:b/>
          <w:sz w:val="19"/>
        </w:rPr>
        <w:t xml:space="preserve">Executive Vice President, General Counsel and Secretary </w:t>
      </w:r>
    </w:p>
    <w:p>
      <w:pPr>
        <w:pStyle w:val="TextBody"/>
        <w:bidi w:val="0"/>
        <w:spacing w:before="0" w:after="0"/>
        <w:jc w:val="center"/>
        <w:rPr>
          <w:rFonts w:ascii="Times New Roman" w:hAnsi="Times New Roman"/>
          <w:b/>
          <w:sz w:val="19"/>
        </w:rPr>
      </w:pPr>
      <w:r>
        <w:rPr>
          <w:rFonts w:ascii="Times New Roman" w:hAnsi="Times New Roman"/>
          <w:b/>
          <w:sz w:val="19"/>
        </w:rPr>
        <w:t xml:space="preserve">Eli Lilly and Company </w:t>
      </w:r>
    </w:p>
    <w:p>
      <w:pPr>
        <w:pStyle w:val="TextBody"/>
        <w:bidi w:val="0"/>
        <w:spacing w:before="0" w:after="0"/>
        <w:jc w:val="center"/>
        <w:rPr>
          <w:rFonts w:ascii="Times New Roman" w:hAnsi="Times New Roman"/>
          <w:b/>
          <w:sz w:val="19"/>
        </w:rPr>
      </w:pPr>
      <w:r>
        <w:rPr>
          <w:rFonts w:ascii="Times New Roman" w:hAnsi="Times New Roman"/>
          <w:b/>
          <w:sz w:val="19"/>
        </w:rPr>
        <w:t xml:space="preserve">Lilly Corporate Center </w:t>
      </w:r>
    </w:p>
    <w:p>
      <w:pPr>
        <w:pStyle w:val="TextBody"/>
        <w:bidi w:val="0"/>
        <w:spacing w:before="0" w:after="0"/>
        <w:jc w:val="center"/>
        <w:rPr>
          <w:rFonts w:ascii="Times New Roman" w:hAnsi="Times New Roman"/>
          <w:b/>
          <w:sz w:val="19"/>
        </w:rPr>
      </w:pPr>
      <w:r>
        <w:rPr>
          <w:rFonts w:ascii="Times New Roman" w:hAnsi="Times New Roman"/>
          <w:b/>
          <w:sz w:val="19"/>
        </w:rPr>
        <w:t xml:space="preserve">Indianapolis, Indiana 46285 </w:t>
      </w:r>
    </w:p>
    <w:p>
      <w:pPr>
        <w:pStyle w:val="TextBody"/>
        <w:bidi w:val="0"/>
        <w:spacing w:before="0" w:after="0"/>
        <w:jc w:val="center"/>
        <w:rPr>
          <w:rFonts w:ascii="Times New Roman" w:hAnsi="Times New Roman"/>
          <w:b/>
          <w:sz w:val="19"/>
        </w:rPr>
      </w:pPr>
      <w:r>
        <w:rPr>
          <w:rFonts w:ascii="Times New Roman" w:hAnsi="Times New Roman"/>
          <w:b/>
          <w:sz w:val="19"/>
        </w:rPr>
        <w:t xml:space="preserve">Telephone: (317) 276-2000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numbers of person authorized to receive notices and communications on behalf of filing persons) </w:t>
      </w:r>
    </w:p>
    <w:p>
      <w:pPr>
        <w:pStyle w:val="TextBody"/>
        <w:bidi w:val="0"/>
        <w:spacing w:before="240" w:after="0"/>
        <w:jc w:val="center"/>
        <w:rPr>
          <w:rFonts w:ascii="Times New Roman" w:hAnsi="Times New Roman"/>
          <w:b/>
          <w:i/>
          <w:sz w:val="19"/>
        </w:rPr>
      </w:pPr>
      <w:r>
        <w:rPr>
          <w:rFonts w:ascii="Times New Roman" w:hAnsi="Times New Roman"/>
          <w:b/>
          <w:i/>
          <w:sz w:val="19"/>
        </w:rPr>
        <w:t xml:space="preserve">Copy to: </w:t>
      </w:r>
    </w:p>
    <w:p>
      <w:pPr>
        <w:pStyle w:val="TextBody"/>
        <w:bidi w:val="0"/>
        <w:spacing w:before="120" w:after="0"/>
        <w:jc w:val="center"/>
        <w:rPr>
          <w:rFonts w:ascii="Times New Roman" w:hAnsi="Times New Roman"/>
          <w:b/>
          <w:sz w:val="19"/>
        </w:rPr>
      </w:pPr>
      <w:r>
        <w:rPr>
          <w:rFonts w:ascii="Times New Roman" w:hAnsi="Times New Roman"/>
          <w:b/>
          <w:sz w:val="19"/>
        </w:rPr>
        <w:t xml:space="preserve">Emily Oldshue </w:t>
      </w:r>
    </w:p>
    <w:p>
      <w:pPr>
        <w:pStyle w:val="TextBody"/>
        <w:bidi w:val="0"/>
        <w:spacing w:before="0" w:after="0"/>
        <w:jc w:val="center"/>
        <w:rPr>
          <w:rFonts w:ascii="Times New Roman" w:hAnsi="Times New Roman"/>
          <w:b/>
          <w:sz w:val="19"/>
        </w:rPr>
      </w:pPr>
      <w:r>
        <w:rPr>
          <w:rFonts w:ascii="Times New Roman" w:hAnsi="Times New Roman"/>
          <w:b/>
          <w:sz w:val="19"/>
        </w:rPr>
        <w:t xml:space="preserve">Ropes &amp; Gray LLP </w:t>
      </w:r>
    </w:p>
    <w:p>
      <w:pPr>
        <w:pStyle w:val="TextBody"/>
        <w:bidi w:val="0"/>
        <w:spacing w:before="0" w:after="0"/>
        <w:jc w:val="center"/>
        <w:rPr>
          <w:rFonts w:ascii="Times New Roman" w:hAnsi="Times New Roman"/>
          <w:b/>
          <w:sz w:val="19"/>
        </w:rPr>
      </w:pPr>
      <w:r>
        <w:rPr>
          <w:rFonts w:ascii="Times New Roman" w:hAnsi="Times New Roman"/>
          <w:b/>
          <w:sz w:val="19"/>
        </w:rPr>
        <w:t xml:space="preserve">800 Boylston Street, Prudential Tower </w:t>
      </w:r>
    </w:p>
    <w:p>
      <w:pPr>
        <w:pStyle w:val="TextBody"/>
        <w:bidi w:val="0"/>
        <w:spacing w:before="0" w:after="0"/>
        <w:jc w:val="center"/>
        <w:rPr>
          <w:rFonts w:ascii="Times New Roman" w:hAnsi="Times New Roman"/>
          <w:b/>
          <w:sz w:val="19"/>
        </w:rPr>
      </w:pPr>
      <w:r>
        <w:rPr>
          <w:rFonts w:ascii="Times New Roman" w:hAnsi="Times New Roman"/>
          <w:b/>
          <w:sz w:val="19"/>
        </w:rPr>
        <w:t xml:space="preserve">Boston, MA 02199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 </w:t>
            </w:r>
          </w:p>
        </w:tc>
        <w:tc>
          <w:tcPr>
            <w:tcW w:w="9797"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Check the box if the filing relates solely to preliminary communications made before the commencement of a tender offer. </w:t>
            </w:r>
          </w:p>
        </w:tc>
      </w:tr>
    </w:tbl>
    <w:p>
      <w:pPr>
        <w:pStyle w:val="TextBody"/>
        <w:bidi w:val="0"/>
        <w:spacing w:before="240" w:after="0"/>
        <w:jc w:val="left"/>
        <w:rPr>
          <w:rFonts w:ascii="Times New Roman" w:hAnsi="Times New Roman"/>
          <w:sz w:val="19"/>
        </w:rPr>
      </w:pPr>
      <w:r>
        <w:rPr>
          <w:rFonts w:ascii="Times New Roman" w:hAnsi="Times New Roman"/>
          <w:sz w:val="19"/>
        </w:rPr>
        <w:t xml:space="preserve">Check the appropriate boxes below to designate any transactions to which the statement relates: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408"/>
        <w:gridCol w:w="8472"/>
      </w:tblGrid>
      <w:tr>
        <w:trPr/>
        <w:tc>
          <w:tcPr>
            <w:tcW w:w="1325"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 </w:t>
            </w:r>
          </w:p>
        </w:tc>
        <w:tc>
          <w:tcPr>
            <w:tcW w:w="8472"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Third-party tender offer subject to Rule 14d-1. </w:t>
            </w:r>
          </w:p>
        </w:tc>
      </w:tr>
    </w:tbl>
    <w:tbl>
      <w:tblPr>
        <w:tblW w:w="5000" w:type="pct"/>
        <w:jc w:val="left"/>
        <w:tblInd w:w="0" w:type="dxa"/>
        <w:tblLayout w:type="fixed"/>
        <w:tblCellMar>
          <w:top w:w="0" w:type="dxa"/>
          <w:left w:w="0" w:type="dxa"/>
          <w:bottom w:w="0" w:type="dxa"/>
          <w:right w:w="0" w:type="dxa"/>
        </w:tblCellMar>
      </w:tblPr>
      <w:tblGrid>
        <w:gridCol w:w="1325"/>
        <w:gridCol w:w="407"/>
        <w:gridCol w:w="8473"/>
      </w:tblGrid>
      <w:tr>
        <w:trPr/>
        <w:tc>
          <w:tcPr>
            <w:tcW w:w="1325"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 </w:t>
            </w:r>
          </w:p>
        </w:tc>
        <w:tc>
          <w:tcPr>
            <w:tcW w:w="8473"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Issuer tender offer subject to Rule 13e-4. </w:t>
            </w:r>
          </w:p>
        </w:tc>
      </w:tr>
    </w:tbl>
    <w:tbl>
      <w:tblPr>
        <w:tblW w:w="5000" w:type="pct"/>
        <w:jc w:val="left"/>
        <w:tblInd w:w="0" w:type="dxa"/>
        <w:tblLayout w:type="fixed"/>
        <w:tblCellMar>
          <w:top w:w="0" w:type="dxa"/>
          <w:left w:w="0" w:type="dxa"/>
          <w:bottom w:w="0" w:type="dxa"/>
          <w:right w:w="0" w:type="dxa"/>
        </w:tblCellMar>
      </w:tblPr>
      <w:tblGrid>
        <w:gridCol w:w="1326"/>
        <w:gridCol w:w="408"/>
        <w:gridCol w:w="8471"/>
      </w:tblGrid>
      <w:tr>
        <w:trPr/>
        <w:tc>
          <w:tcPr>
            <w:tcW w:w="132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 </w:t>
            </w:r>
          </w:p>
        </w:tc>
        <w:tc>
          <w:tcPr>
            <w:tcW w:w="8471"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Going-private transaction subject to Rule 13e-3. </w:t>
            </w:r>
          </w:p>
        </w:tc>
      </w:tr>
    </w:tbl>
    <w:tbl>
      <w:tblPr>
        <w:tblW w:w="5000" w:type="pct"/>
        <w:jc w:val="left"/>
        <w:tblInd w:w="0" w:type="dxa"/>
        <w:tblLayout w:type="fixed"/>
        <w:tblCellMar>
          <w:top w:w="0" w:type="dxa"/>
          <w:left w:w="0" w:type="dxa"/>
          <w:bottom w:w="0" w:type="dxa"/>
          <w:right w:w="0" w:type="dxa"/>
        </w:tblCellMar>
      </w:tblPr>
      <w:tblGrid>
        <w:gridCol w:w="1326"/>
        <w:gridCol w:w="408"/>
        <w:gridCol w:w="8471"/>
      </w:tblGrid>
      <w:tr>
        <w:trPr/>
        <w:tc>
          <w:tcPr>
            <w:tcW w:w="132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 </w:t>
            </w:r>
          </w:p>
        </w:tc>
        <w:tc>
          <w:tcPr>
            <w:tcW w:w="8471"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Amendment to Schedule 13D under Rule 13d-2. </w:t>
            </w:r>
          </w:p>
        </w:tc>
      </w:tr>
    </w:tbl>
    <w:p>
      <w:pPr>
        <w:pStyle w:val="TextBody"/>
        <w:bidi w:val="0"/>
        <w:spacing w:before="240" w:after="0"/>
        <w:jc w:val="left"/>
        <w:rPr>
          <w:rFonts w:ascii="Times New Roman" w:hAnsi="Times New Roman"/>
          <w:sz w:val="19"/>
        </w:rPr>
      </w:pPr>
      <w:r>
        <w:rPr>
          <w:rFonts w:ascii="Times New Roman" w:hAnsi="Times New Roman"/>
          <w:sz w:val="19"/>
        </w:rPr>
        <w:t xml:space="preserve">Check the following box if the filing is a final amendment reporting the results of the tender offer: ☐ </w:t>
      </w:r>
    </w:p>
    <w:p>
      <w:pPr>
        <w:pStyle w:val="TextBody"/>
        <w:bidi w:val="0"/>
        <w:spacing w:before="240" w:after="0"/>
        <w:jc w:val="left"/>
        <w:rPr>
          <w:rFonts w:ascii="Times New Roman" w:hAnsi="Times New Roman"/>
          <w:sz w:val="19"/>
        </w:rPr>
      </w:pPr>
      <w:r>
        <w:rPr>
          <w:rFonts w:ascii="Times New Roman" w:hAnsi="Times New Roman"/>
          <w:sz w:val="19"/>
        </w:rPr>
        <w:t xml:space="preserve">If applicable, check the appropriate box(es) below to designate the appropriate rule provision(s) relied upon: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407"/>
        <w:gridCol w:w="8473"/>
      </w:tblGrid>
      <w:tr>
        <w:trPr/>
        <w:tc>
          <w:tcPr>
            <w:tcW w:w="1325"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 </w:t>
            </w:r>
          </w:p>
        </w:tc>
        <w:tc>
          <w:tcPr>
            <w:tcW w:w="8473"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Rule 13e-4(i) (Cross-Border Issuer Tender Offer) </w:t>
            </w:r>
          </w:p>
        </w:tc>
      </w:tr>
    </w:tbl>
    <w:tbl>
      <w:tblPr>
        <w:tblW w:w="5000" w:type="pct"/>
        <w:jc w:val="left"/>
        <w:tblInd w:w="0" w:type="dxa"/>
        <w:tblLayout w:type="fixed"/>
        <w:tblCellMar>
          <w:top w:w="0" w:type="dxa"/>
          <w:left w:w="0" w:type="dxa"/>
          <w:bottom w:w="0" w:type="dxa"/>
          <w:right w:w="0" w:type="dxa"/>
        </w:tblCellMar>
      </w:tblPr>
      <w:tblGrid>
        <w:gridCol w:w="1325"/>
        <w:gridCol w:w="408"/>
        <w:gridCol w:w="8472"/>
      </w:tblGrid>
      <w:tr>
        <w:trPr/>
        <w:tc>
          <w:tcPr>
            <w:tcW w:w="1325"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 </w:t>
            </w:r>
          </w:p>
        </w:tc>
        <w:tc>
          <w:tcPr>
            <w:tcW w:w="8472"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Rule 14d-1(d) (Cross-Border Third-Party Tender Offer)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Items 1 through 9 and Item 11. </w:t>
      </w:r>
    </w:p>
    <w:p>
      <w:pPr>
        <w:pStyle w:val="TextBody"/>
        <w:bidi w:val="0"/>
        <w:spacing w:before="120" w:after="0"/>
        <w:jc w:val="left"/>
        <w:rPr>
          <w:rFonts w:ascii="Times New Roman" w:hAnsi="Times New Roman"/>
          <w:sz w:val="20"/>
        </w:rPr>
      </w:pPr>
      <w:r>
        <w:rPr>
          <w:rFonts w:ascii="Times New Roman" w:hAnsi="Times New Roman"/>
          <w:sz w:val="20"/>
        </w:rPr>
        <w:t xml:space="preserve">This Tender Offer Statement on Schedule TO (together with any amendments and supplements hereto, the “Schedule TO”) relates to the offer by Flying Tigers Acquisition Corporation, a Delaware corporation (“Purchaser”) and a direct wholly-owned subsidiary of Eli Lilly and Company, an Indiana corporation (“Lilly”), to purchase all of the issued and outstanding shares of common stock, par value $0.0001 per share (the “Shares”), of Adverum Biotechnologies, Inc., a Delaware corporation (“Adverum”), in exchange for (i) $3.56 per Share, net to the stockholder in cash, without interest and </w:t>
      </w:r>
      <w:r>
        <w:rPr>
          <w:rFonts w:ascii="Times New Roman" w:hAnsi="Times New Roman"/>
          <w:i/>
          <w:sz w:val="20"/>
        </w:rPr>
        <w:t>less</w:t>
      </w:r>
      <w:r>
        <w:rPr>
          <w:rFonts w:ascii="Times New Roman" w:hAnsi="Times New Roman"/>
          <w:sz w:val="20"/>
        </w:rPr>
        <w:t xml:space="preserve"> any applicable tax withholding, </w:t>
      </w:r>
      <w:r>
        <w:rPr>
          <w:rFonts w:ascii="Times New Roman" w:hAnsi="Times New Roman"/>
          <w:i/>
          <w:sz w:val="20"/>
        </w:rPr>
        <w:t>plus</w:t>
      </w:r>
      <w:r>
        <w:rPr>
          <w:rFonts w:ascii="Times New Roman" w:hAnsi="Times New Roman"/>
          <w:sz w:val="20"/>
        </w:rPr>
        <w:t xml:space="preserve"> (ii) one non-tradable contingent value right (“CVR”) per Share, which represents the contractual right to receive up to two contingent cash payments of up to an aggregate of $8.91 per CVR, net to the stockholder in cash, without interest and less any applicable tax withholding, upon the achievement of certain specified milestones, all in accordance with the terms and subject to the conditions and other provisions of a contingent value rights agreement to be entered into by and among Lilly, Computershare, Inc., a Delaware corporation, and its affiliate, Computershare Trust Company, N.A., a federally chartered trust company, upon the terms and subject to the conditions set forth in the Offer to Purchase, dated November 7, 2025 (as it may be amended or supplemented from time to time, the “Offer to Purchase”), and in the related Letter of Transmittal (as it may be amended or supplemented from time to time, the “Letter of Transmittal”), copies of which are attached hereto as Exhibits (a)(1)(A) and (a)(1)(B), respectively. </w:t>
      </w:r>
    </w:p>
    <w:p>
      <w:pPr>
        <w:pStyle w:val="TextBody"/>
        <w:bidi w:val="0"/>
        <w:spacing w:before="240" w:after="0"/>
        <w:jc w:val="left"/>
        <w:rPr>
          <w:rFonts w:ascii="Times New Roman" w:hAnsi="Times New Roman"/>
          <w:sz w:val="20"/>
        </w:rPr>
      </w:pPr>
      <w:r>
        <w:rPr>
          <w:rFonts w:ascii="Times New Roman" w:hAnsi="Times New Roman"/>
          <w:sz w:val="20"/>
        </w:rPr>
        <w:t xml:space="preserve">All information contained in the Offer to Purchase (including Schedule I thereto) and the related Letter of Transmittal is hereby expressly incorporated herein by reference in response to Items 1 through 9 and Item 11 of this Schedule TO, except as otherwise set forth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Item 10.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Item 12.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13"/>
        <w:gridCol w:w="672"/>
        <w:gridCol w:w="8520"/>
      </w:tblGrid>
      <w:tr>
        <w:trPr/>
        <w:tc>
          <w:tcPr>
            <w:tcW w:w="1013" w:type="dxa"/>
            <w:tcBorders/>
            <w:vAlign w:val="center"/>
          </w:tcPr>
          <w:p>
            <w:pPr>
              <w:pStyle w:val="TableContents"/>
              <w:bidi w:val="0"/>
              <w:spacing w:before="0" w:after="283"/>
              <w:jc w:val="left"/>
              <w:rPr>
                <w:sz w:val="4"/>
                <w:szCs w:val="4"/>
              </w:rPr>
            </w:pPr>
            <w:r>
              <w:rPr>
                <w:sz w:val="4"/>
                <w:szCs w:val="4"/>
              </w:rPr>
            </w:r>
          </w:p>
        </w:tc>
        <w:tc>
          <w:tcPr>
            <w:tcW w:w="672" w:type="dxa"/>
            <w:tcBorders/>
            <w:vAlign w:val="bottom"/>
          </w:tcPr>
          <w:p>
            <w:pPr>
              <w:pStyle w:val="TableContents"/>
              <w:bidi w:val="0"/>
              <w:spacing w:before="0" w:after="283"/>
              <w:jc w:val="left"/>
              <w:rPr>
                <w:sz w:val="4"/>
                <w:szCs w:val="4"/>
              </w:rPr>
            </w:pPr>
            <w:r>
              <w:rPr>
                <w:sz w:val="4"/>
                <w:szCs w:val="4"/>
              </w:rPr>
            </w:r>
          </w:p>
        </w:tc>
        <w:tc>
          <w:tcPr>
            <w:tcW w:w="8520" w:type="dxa"/>
            <w:tcBorders/>
            <w:vAlign w:val="center"/>
          </w:tcPr>
          <w:p>
            <w:pPr>
              <w:pStyle w:val="TableContents"/>
              <w:bidi w:val="0"/>
              <w:spacing w:before="0" w:after="283"/>
              <w:jc w:val="left"/>
              <w:rPr>
                <w:sz w:val="4"/>
                <w:szCs w:val="4"/>
              </w:rPr>
            </w:pPr>
            <w:r>
              <w:rPr>
                <w:sz w:val="4"/>
                <w:szCs w:val="4"/>
              </w:rPr>
            </w:r>
          </w:p>
        </w:tc>
      </w:tr>
      <w:tr>
        <w:trPr/>
        <w:tc>
          <w:tcPr>
            <w:tcW w:w="1013"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Exhibit</w:t>
            </w:r>
          </w:p>
          <w:p>
            <w:pPr>
              <w:pStyle w:val="TableContents"/>
              <w:bidi w:val="0"/>
              <w:spacing w:before="0" w:after="20"/>
              <w:jc w:val="left"/>
              <w:rPr>
                <w:rFonts w:ascii="Times New Roman" w:hAnsi="Times New Roman"/>
                <w:b/>
                <w:sz w:val="16"/>
              </w:rPr>
            </w:pPr>
            <w:r>
              <w:rPr>
                <w:rFonts w:ascii="Times New Roman" w:hAnsi="Times New Roman"/>
                <w:b/>
                <w:sz w:val="16"/>
              </w:rPr>
              <w:t>No.</w:t>
            </w:r>
          </w:p>
        </w:tc>
        <w:tc>
          <w:tcPr>
            <w:tcW w:w="672" w:type="dxa"/>
            <w:tcBorders/>
            <w:vAlign w:val="bottom"/>
          </w:tcPr>
          <w:p>
            <w:pPr>
              <w:pStyle w:val="TableContents"/>
              <w:bidi w:val="0"/>
              <w:spacing w:before="0" w:after="283"/>
              <w:jc w:val="left"/>
              <w:rPr/>
            </w:pPr>
            <w:r>
              <w:rPr/>
              <w:t> </w:t>
            </w:r>
          </w:p>
        </w:tc>
        <w:tc>
          <w:tcPr>
            <w:tcW w:w="8520" w:type="dxa"/>
            <w:tcBorders/>
            <w:vAlign w:val="bottom"/>
          </w:tcPr>
          <w:p>
            <w:pPr>
              <w:pStyle w:val="TableContents"/>
              <w:bidi w:val="0"/>
              <w:spacing w:before="0" w:after="283"/>
              <w:jc w:val="center"/>
              <w:rPr>
                <w:b/>
              </w:rPr>
            </w:pPr>
            <w:r>
              <w:rPr>
                <w:b/>
              </w:rPr>
              <w:t>Description</w:t>
            </w:r>
          </w:p>
        </w:tc>
      </w:tr>
      <w:tr>
        <w:trPr>
          <w:trHeight w:val="120" w:hRule="atLeast"/>
        </w:trPr>
        <w:tc>
          <w:tcPr>
            <w:tcW w:w="1013" w:type="dxa"/>
            <w:tcBorders/>
            <w:vAlign w:val="center"/>
          </w:tcPr>
          <w:p>
            <w:pPr>
              <w:pStyle w:val="TableContents"/>
              <w:bidi w:val="0"/>
              <w:spacing w:before="0" w:after="283"/>
              <w:jc w:val="left"/>
              <w:rPr>
                <w:sz w:val="4"/>
                <w:szCs w:val="4"/>
              </w:rPr>
            </w:pPr>
            <w:r>
              <w:rPr>
                <w:sz w:val="4"/>
                <w:szCs w:val="4"/>
              </w:rPr>
            </w:r>
          </w:p>
        </w:tc>
        <w:tc>
          <w:tcPr>
            <w:tcW w:w="9192" w:type="dxa"/>
            <w:gridSpan w:val="2"/>
            <w:tcBorders/>
            <w:vAlign w:val="center"/>
          </w:tcPr>
          <w:p>
            <w:pPr>
              <w:pStyle w:val="TableContents"/>
              <w:bidi w:val="0"/>
              <w:spacing w:before="0" w:after="283"/>
              <w:jc w:val="left"/>
              <w:rPr>
                <w:sz w:val="4"/>
                <w:szCs w:val="4"/>
              </w:rPr>
            </w:pPr>
            <w:r>
              <w:rPr>
                <w:sz w:val="4"/>
                <w:szCs w:val="4"/>
              </w:rPr>
            </w:r>
          </w:p>
        </w:tc>
      </w:tr>
      <w:tr>
        <w:trPr/>
        <w:tc>
          <w:tcPr>
            <w:tcW w:w="1013" w:type="dxa"/>
            <w:tcBorders/>
          </w:tcPr>
          <w:p>
            <w:pPr>
              <w:pStyle w:val="TableContents"/>
              <w:bidi w:val="0"/>
              <w:spacing w:before="0" w:after="283"/>
              <w:jc w:val="left"/>
              <w:rPr/>
            </w:pPr>
            <w:r>
              <w:rPr/>
              <w:t>(a)(1)(A)*</w:t>
            </w:r>
          </w:p>
        </w:tc>
        <w:tc>
          <w:tcPr>
            <w:tcW w:w="672" w:type="dxa"/>
            <w:tcBorders/>
            <w:vAlign w:val="bottom"/>
          </w:tcPr>
          <w:p>
            <w:pPr>
              <w:pStyle w:val="TableContents"/>
              <w:bidi w:val="0"/>
              <w:spacing w:before="0" w:after="283"/>
              <w:jc w:val="left"/>
              <w:rPr/>
            </w:pPr>
            <w:r>
              <w:rPr/>
              <w:t> </w:t>
            </w:r>
          </w:p>
        </w:tc>
        <w:tc>
          <w:tcPr>
            <w:tcW w:w="8520" w:type="dxa"/>
            <w:tcBorders/>
          </w:tcPr>
          <w:p>
            <w:pPr>
              <w:pStyle w:val="TableContents"/>
              <w:bidi w:val="0"/>
              <w:spacing w:before="0" w:after="283"/>
              <w:jc w:val="left"/>
              <w:rPr/>
            </w:pPr>
            <w:hyperlink w:anchor="d67752dex99a1a.htm">
              <w:r>
                <w:rPr>
                  <w:rStyle w:val="InternetLink"/>
                </w:rPr>
                <w:t>Offer to Purchase, dated November 7, 2025.</w:t>
              </w:r>
            </w:hyperlink>
          </w:p>
        </w:tc>
      </w:tr>
      <w:tr>
        <w:trPr>
          <w:trHeight w:val="120" w:hRule="atLeast"/>
        </w:trPr>
        <w:tc>
          <w:tcPr>
            <w:tcW w:w="1013" w:type="dxa"/>
            <w:tcBorders/>
            <w:vAlign w:val="center"/>
          </w:tcPr>
          <w:p>
            <w:pPr>
              <w:pStyle w:val="TableContents"/>
              <w:bidi w:val="0"/>
              <w:spacing w:before="0" w:after="283"/>
              <w:jc w:val="left"/>
              <w:rPr>
                <w:sz w:val="4"/>
                <w:szCs w:val="4"/>
              </w:rPr>
            </w:pPr>
            <w:r>
              <w:rPr>
                <w:sz w:val="4"/>
                <w:szCs w:val="4"/>
              </w:rPr>
            </w:r>
          </w:p>
        </w:tc>
        <w:tc>
          <w:tcPr>
            <w:tcW w:w="9192" w:type="dxa"/>
            <w:gridSpan w:val="2"/>
            <w:tcBorders/>
            <w:vAlign w:val="center"/>
          </w:tcPr>
          <w:p>
            <w:pPr>
              <w:pStyle w:val="TableContents"/>
              <w:bidi w:val="0"/>
              <w:spacing w:before="0" w:after="283"/>
              <w:jc w:val="left"/>
              <w:rPr>
                <w:sz w:val="4"/>
                <w:szCs w:val="4"/>
              </w:rPr>
            </w:pPr>
            <w:r>
              <w:rPr>
                <w:sz w:val="4"/>
                <w:szCs w:val="4"/>
              </w:rPr>
            </w:r>
          </w:p>
        </w:tc>
      </w:tr>
      <w:tr>
        <w:trPr/>
        <w:tc>
          <w:tcPr>
            <w:tcW w:w="1013" w:type="dxa"/>
            <w:tcBorders/>
          </w:tcPr>
          <w:p>
            <w:pPr>
              <w:pStyle w:val="TableContents"/>
              <w:bidi w:val="0"/>
              <w:spacing w:before="0" w:after="283"/>
              <w:jc w:val="left"/>
              <w:rPr/>
            </w:pPr>
            <w:r>
              <w:rPr/>
              <w:t>(a)(1)(B)*</w:t>
            </w:r>
          </w:p>
        </w:tc>
        <w:tc>
          <w:tcPr>
            <w:tcW w:w="672" w:type="dxa"/>
            <w:tcBorders/>
            <w:vAlign w:val="bottom"/>
          </w:tcPr>
          <w:p>
            <w:pPr>
              <w:pStyle w:val="TableContents"/>
              <w:bidi w:val="0"/>
              <w:spacing w:before="0" w:after="283"/>
              <w:jc w:val="left"/>
              <w:rPr/>
            </w:pPr>
            <w:r>
              <w:rPr/>
              <w:t> </w:t>
            </w:r>
          </w:p>
        </w:tc>
        <w:tc>
          <w:tcPr>
            <w:tcW w:w="8520" w:type="dxa"/>
            <w:tcBorders/>
          </w:tcPr>
          <w:p>
            <w:pPr>
              <w:pStyle w:val="TableContents"/>
              <w:bidi w:val="0"/>
              <w:spacing w:before="0" w:after="283"/>
              <w:jc w:val="left"/>
              <w:rPr/>
            </w:pPr>
            <w:hyperlink w:anchor="d67752dex99a1b.htm">
              <w:r>
                <w:rPr>
                  <w:rStyle w:val="InternetLink"/>
                </w:rPr>
                <w:t>Form of Letter of Transmittal (including Internal Revenue Service Form W-9).</w:t>
              </w:r>
            </w:hyperlink>
          </w:p>
        </w:tc>
      </w:tr>
      <w:tr>
        <w:trPr>
          <w:trHeight w:val="120" w:hRule="atLeast"/>
        </w:trPr>
        <w:tc>
          <w:tcPr>
            <w:tcW w:w="1013" w:type="dxa"/>
            <w:tcBorders/>
            <w:vAlign w:val="center"/>
          </w:tcPr>
          <w:p>
            <w:pPr>
              <w:pStyle w:val="TableContents"/>
              <w:bidi w:val="0"/>
              <w:spacing w:before="0" w:after="283"/>
              <w:jc w:val="left"/>
              <w:rPr>
                <w:sz w:val="4"/>
                <w:szCs w:val="4"/>
              </w:rPr>
            </w:pPr>
            <w:r>
              <w:rPr>
                <w:sz w:val="4"/>
                <w:szCs w:val="4"/>
              </w:rPr>
            </w:r>
          </w:p>
        </w:tc>
        <w:tc>
          <w:tcPr>
            <w:tcW w:w="9192" w:type="dxa"/>
            <w:gridSpan w:val="2"/>
            <w:tcBorders/>
            <w:vAlign w:val="center"/>
          </w:tcPr>
          <w:p>
            <w:pPr>
              <w:pStyle w:val="TableContents"/>
              <w:bidi w:val="0"/>
              <w:spacing w:before="0" w:after="283"/>
              <w:jc w:val="left"/>
              <w:rPr>
                <w:sz w:val="4"/>
                <w:szCs w:val="4"/>
              </w:rPr>
            </w:pPr>
            <w:r>
              <w:rPr>
                <w:sz w:val="4"/>
                <w:szCs w:val="4"/>
              </w:rPr>
            </w:r>
          </w:p>
        </w:tc>
      </w:tr>
      <w:tr>
        <w:trPr/>
        <w:tc>
          <w:tcPr>
            <w:tcW w:w="1013" w:type="dxa"/>
            <w:tcBorders/>
          </w:tcPr>
          <w:p>
            <w:pPr>
              <w:pStyle w:val="TableContents"/>
              <w:bidi w:val="0"/>
              <w:spacing w:before="0" w:after="283"/>
              <w:jc w:val="left"/>
              <w:rPr/>
            </w:pPr>
            <w:r>
              <w:rPr/>
              <w:t>(a)(1)(C)*</w:t>
            </w:r>
          </w:p>
        </w:tc>
        <w:tc>
          <w:tcPr>
            <w:tcW w:w="672" w:type="dxa"/>
            <w:tcBorders/>
            <w:vAlign w:val="bottom"/>
          </w:tcPr>
          <w:p>
            <w:pPr>
              <w:pStyle w:val="TableContents"/>
              <w:bidi w:val="0"/>
              <w:spacing w:before="0" w:after="283"/>
              <w:jc w:val="left"/>
              <w:rPr/>
            </w:pPr>
            <w:r>
              <w:rPr/>
              <w:t> </w:t>
            </w:r>
          </w:p>
        </w:tc>
        <w:tc>
          <w:tcPr>
            <w:tcW w:w="8520" w:type="dxa"/>
            <w:tcBorders/>
          </w:tcPr>
          <w:p>
            <w:pPr>
              <w:pStyle w:val="TableContents"/>
              <w:bidi w:val="0"/>
              <w:spacing w:before="0" w:after="283"/>
              <w:jc w:val="left"/>
              <w:rPr/>
            </w:pPr>
            <w:hyperlink w:anchor="d67752dex99a1c.htm">
              <w:r>
                <w:rPr>
                  <w:rStyle w:val="InternetLink"/>
                </w:rPr>
                <w:t>Form of Letter to Brokers, Dealers, Commercial Banks, Trust Companies and Other Nominees.</w:t>
              </w:r>
            </w:hyperlink>
          </w:p>
        </w:tc>
      </w:tr>
      <w:tr>
        <w:trPr>
          <w:trHeight w:val="120" w:hRule="atLeast"/>
        </w:trPr>
        <w:tc>
          <w:tcPr>
            <w:tcW w:w="1013" w:type="dxa"/>
            <w:tcBorders/>
            <w:vAlign w:val="center"/>
          </w:tcPr>
          <w:p>
            <w:pPr>
              <w:pStyle w:val="TableContents"/>
              <w:bidi w:val="0"/>
              <w:spacing w:before="0" w:after="283"/>
              <w:jc w:val="left"/>
              <w:rPr>
                <w:sz w:val="4"/>
                <w:szCs w:val="4"/>
              </w:rPr>
            </w:pPr>
            <w:r>
              <w:rPr>
                <w:sz w:val="4"/>
                <w:szCs w:val="4"/>
              </w:rPr>
            </w:r>
          </w:p>
        </w:tc>
        <w:tc>
          <w:tcPr>
            <w:tcW w:w="9192" w:type="dxa"/>
            <w:gridSpan w:val="2"/>
            <w:tcBorders/>
            <w:vAlign w:val="center"/>
          </w:tcPr>
          <w:p>
            <w:pPr>
              <w:pStyle w:val="TableContents"/>
              <w:bidi w:val="0"/>
              <w:spacing w:before="0" w:after="283"/>
              <w:jc w:val="left"/>
              <w:rPr>
                <w:sz w:val="4"/>
                <w:szCs w:val="4"/>
              </w:rPr>
            </w:pPr>
            <w:r>
              <w:rPr>
                <w:sz w:val="4"/>
                <w:szCs w:val="4"/>
              </w:rPr>
            </w:r>
          </w:p>
        </w:tc>
      </w:tr>
      <w:tr>
        <w:trPr/>
        <w:tc>
          <w:tcPr>
            <w:tcW w:w="1013" w:type="dxa"/>
            <w:tcBorders/>
          </w:tcPr>
          <w:p>
            <w:pPr>
              <w:pStyle w:val="TableContents"/>
              <w:bidi w:val="0"/>
              <w:spacing w:before="0" w:after="283"/>
              <w:jc w:val="left"/>
              <w:rPr/>
            </w:pPr>
            <w:r>
              <w:rPr/>
              <w:t>(a)(1)(D)*</w:t>
            </w:r>
          </w:p>
        </w:tc>
        <w:tc>
          <w:tcPr>
            <w:tcW w:w="672" w:type="dxa"/>
            <w:tcBorders/>
            <w:vAlign w:val="bottom"/>
          </w:tcPr>
          <w:p>
            <w:pPr>
              <w:pStyle w:val="TableContents"/>
              <w:bidi w:val="0"/>
              <w:spacing w:before="0" w:after="283"/>
              <w:jc w:val="left"/>
              <w:rPr/>
            </w:pPr>
            <w:r>
              <w:rPr/>
              <w:t> </w:t>
            </w:r>
          </w:p>
        </w:tc>
        <w:tc>
          <w:tcPr>
            <w:tcW w:w="8520" w:type="dxa"/>
            <w:tcBorders/>
          </w:tcPr>
          <w:p>
            <w:pPr>
              <w:pStyle w:val="TableContents"/>
              <w:bidi w:val="0"/>
              <w:spacing w:before="0" w:after="283"/>
              <w:jc w:val="left"/>
              <w:rPr/>
            </w:pPr>
            <w:hyperlink w:anchor="d67752dex99a1d.htm">
              <w:r>
                <w:rPr>
                  <w:rStyle w:val="InternetLink"/>
                </w:rPr>
                <w:t>Form of Letter to Clients for Use by Brokers, Dealers, Commercial Banks, Trust Companies and Other Nominees.</w:t>
              </w:r>
            </w:hyperlink>
          </w:p>
        </w:tc>
      </w:tr>
      <w:tr>
        <w:trPr>
          <w:trHeight w:val="120" w:hRule="atLeast"/>
        </w:trPr>
        <w:tc>
          <w:tcPr>
            <w:tcW w:w="1013" w:type="dxa"/>
            <w:tcBorders/>
            <w:vAlign w:val="center"/>
          </w:tcPr>
          <w:p>
            <w:pPr>
              <w:pStyle w:val="TableContents"/>
              <w:bidi w:val="0"/>
              <w:spacing w:before="0" w:after="283"/>
              <w:jc w:val="left"/>
              <w:rPr>
                <w:sz w:val="4"/>
                <w:szCs w:val="4"/>
              </w:rPr>
            </w:pPr>
            <w:r>
              <w:rPr>
                <w:sz w:val="4"/>
                <w:szCs w:val="4"/>
              </w:rPr>
            </w:r>
          </w:p>
        </w:tc>
        <w:tc>
          <w:tcPr>
            <w:tcW w:w="9192" w:type="dxa"/>
            <w:gridSpan w:val="2"/>
            <w:tcBorders/>
            <w:vAlign w:val="center"/>
          </w:tcPr>
          <w:p>
            <w:pPr>
              <w:pStyle w:val="TableContents"/>
              <w:bidi w:val="0"/>
              <w:spacing w:before="0" w:after="283"/>
              <w:jc w:val="left"/>
              <w:rPr>
                <w:sz w:val="4"/>
                <w:szCs w:val="4"/>
              </w:rPr>
            </w:pPr>
            <w:r>
              <w:rPr>
                <w:sz w:val="4"/>
                <w:szCs w:val="4"/>
              </w:rPr>
            </w:r>
          </w:p>
        </w:tc>
      </w:tr>
      <w:tr>
        <w:trPr/>
        <w:tc>
          <w:tcPr>
            <w:tcW w:w="1013" w:type="dxa"/>
            <w:tcBorders/>
          </w:tcPr>
          <w:p>
            <w:pPr>
              <w:pStyle w:val="TableContents"/>
              <w:bidi w:val="0"/>
              <w:spacing w:before="0" w:after="283"/>
              <w:jc w:val="left"/>
              <w:rPr/>
            </w:pPr>
            <w:r>
              <w:rPr/>
              <w:t>(a)(1)(E)*</w:t>
            </w:r>
          </w:p>
        </w:tc>
        <w:tc>
          <w:tcPr>
            <w:tcW w:w="672" w:type="dxa"/>
            <w:tcBorders/>
            <w:vAlign w:val="bottom"/>
          </w:tcPr>
          <w:p>
            <w:pPr>
              <w:pStyle w:val="TableContents"/>
              <w:bidi w:val="0"/>
              <w:spacing w:before="0" w:after="283"/>
              <w:jc w:val="left"/>
              <w:rPr/>
            </w:pPr>
            <w:r>
              <w:rPr/>
              <w:t> </w:t>
            </w:r>
          </w:p>
        </w:tc>
        <w:tc>
          <w:tcPr>
            <w:tcW w:w="8520" w:type="dxa"/>
            <w:tcBorders/>
          </w:tcPr>
          <w:p>
            <w:pPr>
              <w:pStyle w:val="TableContents"/>
              <w:bidi w:val="0"/>
              <w:spacing w:before="0" w:after="283"/>
              <w:jc w:val="left"/>
              <w:rPr/>
            </w:pPr>
            <w:hyperlink w:anchor="d67752dex99a1e.htm">
              <w:r>
                <w:rPr>
                  <w:rStyle w:val="InternetLink"/>
                </w:rPr>
                <w:t>Summary Advertisement, as published in The Wall Street Journal on November 7, 2025.</w:t>
              </w:r>
            </w:hyperlink>
          </w:p>
        </w:tc>
      </w:tr>
      <w:tr>
        <w:trPr>
          <w:trHeight w:val="120" w:hRule="atLeast"/>
        </w:trPr>
        <w:tc>
          <w:tcPr>
            <w:tcW w:w="1013" w:type="dxa"/>
            <w:tcBorders/>
            <w:vAlign w:val="center"/>
          </w:tcPr>
          <w:p>
            <w:pPr>
              <w:pStyle w:val="TableContents"/>
              <w:bidi w:val="0"/>
              <w:spacing w:before="0" w:after="283"/>
              <w:jc w:val="left"/>
              <w:rPr>
                <w:sz w:val="4"/>
                <w:szCs w:val="4"/>
              </w:rPr>
            </w:pPr>
            <w:r>
              <w:rPr>
                <w:sz w:val="4"/>
                <w:szCs w:val="4"/>
              </w:rPr>
            </w:r>
          </w:p>
        </w:tc>
        <w:tc>
          <w:tcPr>
            <w:tcW w:w="9192" w:type="dxa"/>
            <w:gridSpan w:val="2"/>
            <w:tcBorders/>
            <w:vAlign w:val="center"/>
          </w:tcPr>
          <w:p>
            <w:pPr>
              <w:pStyle w:val="TableContents"/>
              <w:bidi w:val="0"/>
              <w:spacing w:before="0" w:after="283"/>
              <w:jc w:val="left"/>
              <w:rPr>
                <w:sz w:val="4"/>
                <w:szCs w:val="4"/>
              </w:rPr>
            </w:pPr>
            <w:r>
              <w:rPr>
                <w:sz w:val="4"/>
                <w:szCs w:val="4"/>
              </w:rPr>
            </w:r>
          </w:p>
        </w:tc>
      </w:tr>
      <w:tr>
        <w:trPr/>
        <w:tc>
          <w:tcPr>
            <w:tcW w:w="1013" w:type="dxa"/>
            <w:tcBorders/>
          </w:tcPr>
          <w:p>
            <w:pPr>
              <w:pStyle w:val="TableContents"/>
              <w:bidi w:val="0"/>
              <w:spacing w:before="0" w:after="283"/>
              <w:jc w:val="left"/>
              <w:rPr/>
            </w:pPr>
            <w:r>
              <w:rPr/>
              <w:t>(a)(5)(A)</w:t>
            </w:r>
          </w:p>
        </w:tc>
        <w:tc>
          <w:tcPr>
            <w:tcW w:w="672" w:type="dxa"/>
            <w:tcBorders/>
            <w:vAlign w:val="bottom"/>
          </w:tcPr>
          <w:p>
            <w:pPr>
              <w:pStyle w:val="TableContents"/>
              <w:bidi w:val="0"/>
              <w:spacing w:before="0" w:after="283"/>
              <w:jc w:val="left"/>
              <w:rPr/>
            </w:pPr>
            <w:r>
              <w:rPr/>
              <w:t> </w:t>
            </w:r>
          </w:p>
        </w:tc>
        <w:tc>
          <w:tcPr>
            <w:tcW w:w="8520" w:type="dxa"/>
            <w:tcBorders/>
          </w:tcPr>
          <w:p>
            <w:pPr>
              <w:pStyle w:val="TableContents"/>
              <w:bidi w:val="0"/>
              <w:spacing w:before="0" w:after="283"/>
              <w:jc w:val="left"/>
              <w:rPr/>
            </w:pPr>
            <w:hyperlink r:id="rId2">
              <w:r>
                <w:rPr>
                  <w:rStyle w:val="InternetLink"/>
                </w:rPr>
                <w:t>Joint Press Release issued by Eli Lilly and Company and Adverum Biotechnologies, Inc. on October  24, 2025 (incorporated by reference to Exhibit 99.1 to the Schedule TO-C filed by Eli Lilly and Company with the Securities and Exchange Commission on October 24, 2025).</w:t>
              </w:r>
            </w:hyperlink>
          </w:p>
        </w:tc>
      </w:tr>
      <w:tr>
        <w:trPr>
          <w:trHeight w:val="120" w:hRule="atLeast"/>
        </w:trPr>
        <w:tc>
          <w:tcPr>
            <w:tcW w:w="1013" w:type="dxa"/>
            <w:tcBorders/>
            <w:vAlign w:val="center"/>
          </w:tcPr>
          <w:p>
            <w:pPr>
              <w:pStyle w:val="TableContents"/>
              <w:bidi w:val="0"/>
              <w:spacing w:before="0" w:after="283"/>
              <w:jc w:val="left"/>
              <w:rPr>
                <w:sz w:val="4"/>
                <w:szCs w:val="4"/>
              </w:rPr>
            </w:pPr>
            <w:r>
              <w:rPr>
                <w:sz w:val="4"/>
                <w:szCs w:val="4"/>
              </w:rPr>
            </w:r>
          </w:p>
        </w:tc>
        <w:tc>
          <w:tcPr>
            <w:tcW w:w="9192" w:type="dxa"/>
            <w:gridSpan w:val="2"/>
            <w:tcBorders/>
            <w:vAlign w:val="center"/>
          </w:tcPr>
          <w:p>
            <w:pPr>
              <w:pStyle w:val="TableContents"/>
              <w:bidi w:val="0"/>
              <w:spacing w:before="0" w:after="283"/>
              <w:jc w:val="left"/>
              <w:rPr>
                <w:sz w:val="4"/>
                <w:szCs w:val="4"/>
              </w:rPr>
            </w:pPr>
            <w:r>
              <w:rPr>
                <w:sz w:val="4"/>
                <w:szCs w:val="4"/>
              </w:rPr>
            </w:r>
          </w:p>
        </w:tc>
      </w:tr>
      <w:tr>
        <w:trPr/>
        <w:tc>
          <w:tcPr>
            <w:tcW w:w="1013" w:type="dxa"/>
            <w:tcBorders/>
          </w:tcPr>
          <w:p>
            <w:pPr>
              <w:pStyle w:val="TableContents"/>
              <w:bidi w:val="0"/>
              <w:spacing w:before="0" w:after="283"/>
              <w:jc w:val="left"/>
              <w:rPr/>
            </w:pPr>
            <w:r>
              <w:rPr/>
              <w:t>(b)</w:t>
            </w:r>
          </w:p>
        </w:tc>
        <w:tc>
          <w:tcPr>
            <w:tcW w:w="672" w:type="dxa"/>
            <w:tcBorders/>
            <w:vAlign w:val="bottom"/>
          </w:tcPr>
          <w:p>
            <w:pPr>
              <w:pStyle w:val="TableContents"/>
              <w:bidi w:val="0"/>
              <w:spacing w:before="0" w:after="283"/>
              <w:jc w:val="left"/>
              <w:rPr/>
            </w:pPr>
            <w:r>
              <w:rPr/>
              <w:t> </w:t>
            </w:r>
          </w:p>
        </w:tc>
        <w:tc>
          <w:tcPr>
            <w:tcW w:w="8520" w:type="dxa"/>
            <w:tcBorders/>
          </w:tcPr>
          <w:p>
            <w:pPr>
              <w:pStyle w:val="TableContents"/>
              <w:bidi w:val="0"/>
              <w:spacing w:before="0" w:after="283"/>
              <w:jc w:val="left"/>
              <w:rPr/>
            </w:pPr>
            <w:r>
              <w:rPr/>
              <w:t>None.</w:t>
            </w:r>
          </w:p>
        </w:tc>
      </w:tr>
      <w:tr>
        <w:trPr>
          <w:trHeight w:val="120" w:hRule="atLeast"/>
        </w:trPr>
        <w:tc>
          <w:tcPr>
            <w:tcW w:w="1013" w:type="dxa"/>
            <w:tcBorders/>
            <w:vAlign w:val="center"/>
          </w:tcPr>
          <w:p>
            <w:pPr>
              <w:pStyle w:val="TableContents"/>
              <w:bidi w:val="0"/>
              <w:spacing w:before="0" w:after="283"/>
              <w:jc w:val="left"/>
              <w:rPr>
                <w:sz w:val="4"/>
                <w:szCs w:val="4"/>
              </w:rPr>
            </w:pPr>
            <w:r>
              <w:rPr>
                <w:sz w:val="4"/>
                <w:szCs w:val="4"/>
              </w:rPr>
            </w:r>
          </w:p>
        </w:tc>
        <w:tc>
          <w:tcPr>
            <w:tcW w:w="9192" w:type="dxa"/>
            <w:gridSpan w:val="2"/>
            <w:tcBorders/>
            <w:vAlign w:val="center"/>
          </w:tcPr>
          <w:p>
            <w:pPr>
              <w:pStyle w:val="TableContents"/>
              <w:bidi w:val="0"/>
              <w:spacing w:before="0" w:after="283"/>
              <w:jc w:val="left"/>
              <w:rPr>
                <w:sz w:val="4"/>
                <w:szCs w:val="4"/>
              </w:rPr>
            </w:pPr>
            <w:r>
              <w:rPr>
                <w:sz w:val="4"/>
                <w:szCs w:val="4"/>
              </w:rPr>
            </w:r>
          </w:p>
        </w:tc>
      </w:tr>
      <w:tr>
        <w:trPr/>
        <w:tc>
          <w:tcPr>
            <w:tcW w:w="1013" w:type="dxa"/>
            <w:tcBorders/>
          </w:tcPr>
          <w:p>
            <w:pPr>
              <w:pStyle w:val="TableContents"/>
              <w:bidi w:val="0"/>
              <w:spacing w:before="0" w:after="283"/>
              <w:jc w:val="left"/>
              <w:rPr/>
            </w:pPr>
            <w:r>
              <w:rPr/>
              <w:t>(d)(1)</w:t>
            </w:r>
          </w:p>
        </w:tc>
        <w:tc>
          <w:tcPr>
            <w:tcW w:w="672" w:type="dxa"/>
            <w:tcBorders/>
            <w:vAlign w:val="bottom"/>
          </w:tcPr>
          <w:p>
            <w:pPr>
              <w:pStyle w:val="TableContents"/>
              <w:bidi w:val="0"/>
              <w:spacing w:before="0" w:after="283"/>
              <w:jc w:val="left"/>
              <w:rPr/>
            </w:pPr>
            <w:r>
              <w:rPr/>
              <w:t> </w:t>
            </w:r>
          </w:p>
        </w:tc>
        <w:tc>
          <w:tcPr>
            <w:tcW w:w="8520" w:type="dxa"/>
            <w:tcBorders/>
          </w:tcPr>
          <w:p>
            <w:pPr>
              <w:pStyle w:val="TableContents"/>
              <w:bidi w:val="0"/>
              <w:spacing w:before="0" w:after="283"/>
              <w:jc w:val="left"/>
              <w:rPr/>
            </w:pPr>
            <w:hyperlink r:id="rId3">
              <w:r>
                <w:rPr>
                  <w:rStyle w:val="InternetLink"/>
                </w:rPr>
                <w:t>Agreement and Plan of Merger, dated October  24, 2025, by and among Eli Lilly and Company, Flying Tigers Acquisition Corporation and Adverum Biotechnologies, Inc. (incorporated by reference to Exhibit 2.1 to the Current Report on Form 8-K filed by Adverum Biotechnologies, Inc. with the Securities and Exchange Commission on October 24, 2025 (File No.001-36579)).</w:t>
              </w:r>
            </w:hyperlink>
          </w:p>
        </w:tc>
      </w:tr>
      <w:tr>
        <w:trPr>
          <w:trHeight w:val="120" w:hRule="atLeast"/>
        </w:trPr>
        <w:tc>
          <w:tcPr>
            <w:tcW w:w="1013" w:type="dxa"/>
            <w:tcBorders/>
            <w:vAlign w:val="center"/>
          </w:tcPr>
          <w:p>
            <w:pPr>
              <w:pStyle w:val="TableContents"/>
              <w:bidi w:val="0"/>
              <w:spacing w:before="0" w:after="283"/>
              <w:jc w:val="left"/>
              <w:rPr>
                <w:sz w:val="4"/>
                <w:szCs w:val="4"/>
              </w:rPr>
            </w:pPr>
            <w:r>
              <w:rPr>
                <w:sz w:val="4"/>
                <w:szCs w:val="4"/>
              </w:rPr>
            </w:r>
          </w:p>
        </w:tc>
        <w:tc>
          <w:tcPr>
            <w:tcW w:w="9192" w:type="dxa"/>
            <w:gridSpan w:val="2"/>
            <w:tcBorders/>
            <w:vAlign w:val="center"/>
          </w:tcPr>
          <w:p>
            <w:pPr>
              <w:pStyle w:val="TableContents"/>
              <w:bidi w:val="0"/>
              <w:spacing w:before="0" w:after="283"/>
              <w:jc w:val="left"/>
              <w:rPr>
                <w:sz w:val="4"/>
                <w:szCs w:val="4"/>
              </w:rPr>
            </w:pPr>
            <w:r>
              <w:rPr>
                <w:sz w:val="4"/>
                <w:szCs w:val="4"/>
              </w:rPr>
            </w:r>
          </w:p>
        </w:tc>
      </w:tr>
      <w:tr>
        <w:trPr/>
        <w:tc>
          <w:tcPr>
            <w:tcW w:w="1013" w:type="dxa"/>
            <w:tcBorders/>
          </w:tcPr>
          <w:p>
            <w:pPr>
              <w:pStyle w:val="TableContents"/>
              <w:bidi w:val="0"/>
              <w:spacing w:before="0" w:after="283"/>
              <w:jc w:val="left"/>
              <w:rPr/>
            </w:pPr>
            <w:r>
              <w:rPr/>
              <w:t>(d)(2)</w:t>
            </w:r>
          </w:p>
        </w:tc>
        <w:tc>
          <w:tcPr>
            <w:tcW w:w="672" w:type="dxa"/>
            <w:tcBorders/>
            <w:vAlign w:val="bottom"/>
          </w:tcPr>
          <w:p>
            <w:pPr>
              <w:pStyle w:val="TableContents"/>
              <w:bidi w:val="0"/>
              <w:spacing w:before="0" w:after="283"/>
              <w:jc w:val="left"/>
              <w:rPr/>
            </w:pPr>
            <w:r>
              <w:rPr/>
              <w:t> </w:t>
            </w:r>
          </w:p>
        </w:tc>
        <w:tc>
          <w:tcPr>
            <w:tcW w:w="8520" w:type="dxa"/>
            <w:tcBorders/>
          </w:tcPr>
          <w:p>
            <w:pPr>
              <w:pStyle w:val="TableContents"/>
              <w:bidi w:val="0"/>
              <w:spacing w:before="0" w:after="283"/>
              <w:jc w:val="left"/>
              <w:rPr/>
            </w:pPr>
            <w:hyperlink r:id="rId4">
              <w:r>
                <w:rPr>
                  <w:rStyle w:val="InternetLink"/>
                </w:rPr>
                <w:t>Form of Contingent Value Rights Agreement, by and among Eli Lilly and Company, Computershare, Inc., and its affiliate, Computershare Trust Company, N.A. (incorporated by reference to Annex IV of Exhibit 2.1 to the Current Report on Form 8-K filed by Adverum Biotechnologies, Inc. with the Securities and Exchange Commission on October 24, 2025 (File No.001-36579)).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612"/>
        <w:gridCol w:w="510"/>
        <w:gridCol w:w="9083"/>
      </w:tblGrid>
      <w:tr>
        <w:trPr/>
        <w:tc>
          <w:tcPr>
            <w:tcW w:w="612" w:type="dxa"/>
            <w:tcBorders/>
            <w:vAlign w:val="center"/>
          </w:tcPr>
          <w:p>
            <w:pPr>
              <w:pStyle w:val="TableContents"/>
              <w:bidi w:val="0"/>
              <w:spacing w:before="0" w:after="283"/>
              <w:jc w:val="left"/>
              <w:rPr>
                <w:sz w:val="4"/>
                <w:szCs w:val="4"/>
              </w:rPr>
            </w:pPr>
            <w:r>
              <w:rPr>
                <w:sz w:val="4"/>
                <w:szCs w:val="4"/>
              </w:rPr>
            </w:r>
          </w:p>
        </w:tc>
        <w:tc>
          <w:tcPr>
            <w:tcW w:w="510" w:type="dxa"/>
            <w:tcBorders/>
            <w:vAlign w:val="bottom"/>
          </w:tcPr>
          <w:p>
            <w:pPr>
              <w:pStyle w:val="TableContents"/>
              <w:bidi w:val="0"/>
              <w:spacing w:before="0" w:after="283"/>
              <w:jc w:val="left"/>
              <w:rPr>
                <w:sz w:val="4"/>
                <w:szCs w:val="4"/>
              </w:rPr>
            </w:pPr>
            <w:r>
              <w:rPr>
                <w:sz w:val="4"/>
                <w:szCs w:val="4"/>
              </w:rPr>
            </w:r>
          </w:p>
        </w:tc>
        <w:tc>
          <w:tcPr>
            <w:tcW w:w="9083" w:type="dxa"/>
            <w:tcBorders/>
            <w:vAlign w:val="center"/>
          </w:tcPr>
          <w:p>
            <w:pPr>
              <w:pStyle w:val="TableContents"/>
              <w:bidi w:val="0"/>
              <w:spacing w:before="0" w:after="283"/>
              <w:jc w:val="left"/>
              <w:rPr>
                <w:sz w:val="4"/>
                <w:szCs w:val="4"/>
              </w:rPr>
            </w:pPr>
            <w:r>
              <w:rPr>
                <w:sz w:val="4"/>
                <w:szCs w:val="4"/>
              </w:rPr>
            </w:r>
          </w:p>
        </w:tc>
      </w:tr>
      <w:tr>
        <w:trPr/>
        <w:tc>
          <w:tcPr>
            <w:tcW w:w="612"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Exhibit</w:t>
            </w:r>
          </w:p>
          <w:p>
            <w:pPr>
              <w:pStyle w:val="TableContents"/>
              <w:bidi w:val="0"/>
              <w:spacing w:before="0" w:after="20"/>
              <w:jc w:val="left"/>
              <w:rPr>
                <w:rFonts w:ascii="Times New Roman" w:hAnsi="Times New Roman"/>
                <w:b/>
                <w:sz w:val="16"/>
              </w:rPr>
            </w:pPr>
            <w:r>
              <w:rPr>
                <w:rFonts w:ascii="Times New Roman" w:hAnsi="Times New Roman"/>
                <w:b/>
                <w:sz w:val="16"/>
              </w:rPr>
              <w:t>No.</w:t>
            </w:r>
          </w:p>
        </w:tc>
        <w:tc>
          <w:tcPr>
            <w:tcW w:w="510" w:type="dxa"/>
            <w:tcBorders/>
            <w:vAlign w:val="bottom"/>
          </w:tcPr>
          <w:p>
            <w:pPr>
              <w:pStyle w:val="TableContents"/>
              <w:bidi w:val="0"/>
              <w:spacing w:before="0" w:after="283"/>
              <w:jc w:val="left"/>
              <w:rPr/>
            </w:pPr>
            <w:r>
              <w:rPr/>
              <w:t>  </w:t>
            </w:r>
          </w:p>
        </w:tc>
        <w:tc>
          <w:tcPr>
            <w:tcW w:w="9083" w:type="dxa"/>
            <w:tcBorders/>
            <w:vAlign w:val="bottom"/>
          </w:tcPr>
          <w:p>
            <w:pPr>
              <w:pStyle w:val="TableContents"/>
              <w:bidi w:val="0"/>
              <w:spacing w:before="0" w:after="283"/>
              <w:jc w:val="center"/>
              <w:rPr>
                <w:b/>
              </w:rPr>
            </w:pPr>
            <w:r>
              <w:rPr>
                <w:b/>
              </w:rPr>
              <w:t>Description</w:t>
            </w:r>
          </w:p>
        </w:tc>
      </w:tr>
      <w:tr>
        <w:trPr>
          <w:trHeight w:val="120" w:hRule="atLeast"/>
        </w:trPr>
        <w:tc>
          <w:tcPr>
            <w:tcW w:w="612" w:type="dxa"/>
            <w:tcBorders/>
            <w:vAlign w:val="center"/>
          </w:tcPr>
          <w:p>
            <w:pPr>
              <w:pStyle w:val="TableContents"/>
              <w:bidi w:val="0"/>
              <w:spacing w:before="0" w:after="283"/>
              <w:jc w:val="left"/>
              <w:rPr>
                <w:sz w:val="4"/>
                <w:szCs w:val="4"/>
              </w:rPr>
            </w:pPr>
            <w:r>
              <w:rPr>
                <w:sz w:val="4"/>
                <w:szCs w:val="4"/>
              </w:rPr>
            </w:r>
          </w:p>
        </w:tc>
        <w:tc>
          <w:tcPr>
            <w:tcW w:w="9593" w:type="dxa"/>
            <w:gridSpan w:val="2"/>
            <w:tcBorders/>
            <w:vAlign w:val="center"/>
          </w:tcPr>
          <w:p>
            <w:pPr>
              <w:pStyle w:val="TableContents"/>
              <w:bidi w:val="0"/>
              <w:spacing w:before="0" w:after="283"/>
              <w:jc w:val="left"/>
              <w:rPr>
                <w:sz w:val="4"/>
                <w:szCs w:val="4"/>
              </w:rPr>
            </w:pPr>
            <w:r>
              <w:rPr>
                <w:sz w:val="4"/>
                <w:szCs w:val="4"/>
              </w:rPr>
            </w:r>
          </w:p>
        </w:tc>
      </w:tr>
      <w:tr>
        <w:trPr/>
        <w:tc>
          <w:tcPr>
            <w:tcW w:w="612" w:type="dxa"/>
            <w:tcBorders/>
          </w:tcPr>
          <w:p>
            <w:pPr>
              <w:pStyle w:val="TableContents"/>
              <w:bidi w:val="0"/>
              <w:spacing w:before="0" w:after="283"/>
              <w:jc w:val="left"/>
              <w:rPr/>
            </w:pPr>
            <w:r>
              <w:rPr/>
              <w:t>(d)(3)</w:t>
            </w:r>
          </w:p>
        </w:tc>
        <w:tc>
          <w:tcPr>
            <w:tcW w:w="510" w:type="dxa"/>
            <w:tcBorders/>
            <w:vAlign w:val="bottom"/>
          </w:tcPr>
          <w:p>
            <w:pPr>
              <w:pStyle w:val="TableContents"/>
              <w:bidi w:val="0"/>
              <w:spacing w:before="0" w:after="283"/>
              <w:jc w:val="left"/>
              <w:rPr/>
            </w:pPr>
            <w:r>
              <w:rPr/>
              <w:t>  </w:t>
            </w:r>
          </w:p>
        </w:tc>
        <w:tc>
          <w:tcPr>
            <w:tcW w:w="9083" w:type="dxa"/>
            <w:tcBorders/>
          </w:tcPr>
          <w:p>
            <w:pPr>
              <w:pStyle w:val="TableContents"/>
              <w:bidi w:val="0"/>
              <w:spacing w:before="0" w:after="283"/>
              <w:jc w:val="left"/>
              <w:rPr/>
            </w:pPr>
            <w:hyperlink r:id="rId5">
              <w:r>
                <w:rPr>
                  <w:rStyle w:val="InternetLink"/>
                </w:rPr>
                <w:t xml:space="preserve">Secured Promissory Note, dated as of October  24, 2025, by and among Eli Lilly and Company and Adverum Biotechnologies, Inc. (incorporated by reference to Exhibit 10.1 of the Current Report on Form 8-K filed by Adverum Biotechnologies, Inc. on October  24, 2025 (File No. 001-36579)). </w:t>
              </w:r>
            </w:hyperlink>
          </w:p>
        </w:tc>
      </w:tr>
      <w:tr>
        <w:trPr>
          <w:trHeight w:val="120" w:hRule="atLeast"/>
        </w:trPr>
        <w:tc>
          <w:tcPr>
            <w:tcW w:w="612" w:type="dxa"/>
            <w:tcBorders/>
            <w:vAlign w:val="center"/>
          </w:tcPr>
          <w:p>
            <w:pPr>
              <w:pStyle w:val="TableContents"/>
              <w:bidi w:val="0"/>
              <w:spacing w:before="0" w:after="283"/>
              <w:jc w:val="left"/>
              <w:rPr>
                <w:sz w:val="4"/>
                <w:szCs w:val="4"/>
              </w:rPr>
            </w:pPr>
            <w:r>
              <w:rPr>
                <w:sz w:val="4"/>
                <w:szCs w:val="4"/>
              </w:rPr>
            </w:r>
          </w:p>
        </w:tc>
        <w:tc>
          <w:tcPr>
            <w:tcW w:w="9593" w:type="dxa"/>
            <w:gridSpan w:val="2"/>
            <w:tcBorders/>
            <w:vAlign w:val="center"/>
          </w:tcPr>
          <w:p>
            <w:pPr>
              <w:pStyle w:val="TableContents"/>
              <w:bidi w:val="0"/>
              <w:spacing w:before="0" w:after="283"/>
              <w:jc w:val="left"/>
              <w:rPr>
                <w:sz w:val="4"/>
                <w:szCs w:val="4"/>
              </w:rPr>
            </w:pPr>
            <w:r>
              <w:rPr>
                <w:sz w:val="4"/>
                <w:szCs w:val="4"/>
              </w:rPr>
            </w:r>
          </w:p>
        </w:tc>
      </w:tr>
      <w:tr>
        <w:trPr/>
        <w:tc>
          <w:tcPr>
            <w:tcW w:w="612" w:type="dxa"/>
            <w:tcBorders/>
          </w:tcPr>
          <w:p>
            <w:pPr>
              <w:pStyle w:val="TableContents"/>
              <w:bidi w:val="0"/>
              <w:spacing w:before="0" w:after="283"/>
              <w:jc w:val="left"/>
              <w:rPr/>
            </w:pPr>
            <w:r>
              <w:rPr/>
              <w:t>(d)(4)*</w:t>
            </w:r>
          </w:p>
        </w:tc>
        <w:tc>
          <w:tcPr>
            <w:tcW w:w="510" w:type="dxa"/>
            <w:tcBorders/>
            <w:vAlign w:val="bottom"/>
          </w:tcPr>
          <w:p>
            <w:pPr>
              <w:pStyle w:val="TableContents"/>
              <w:bidi w:val="0"/>
              <w:spacing w:before="0" w:after="283"/>
              <w:jc w:val="left"/>
              <w:rPr/>
            </w:pPr>
            <w:r>
              <w:rPr/>
              <w:t>  </w:t>
            </w:r>
          </w:p>
        </w:tc>
        <w:tc>
          <w:tcPr>
            <w:tcW w:w="9083" w:type="dxa"/>
            <w:tcBorders/>
          </w:tcPr>
          <w:p>
            <w:pPr>
              <w:pStyle w:val="TableContents"/>
              <w:bidi w:val="0"/>
              <w:spacing w:before="0" w:after="283"/>
              <w:jc w:val="left"/>
              <w:rPr/>
            </w:pPr>
            <w:hyperlink w:anchor="d67752dex99d4.htm">
              <w:r>
                <w:rPr>
                  <w:rStyle w:val="InternetLink"/>
                </w:rPr>
                <w:t xml:space="preserve">Confidentiality Agreement, dated November 4, 2024, between Eli Lilly and Company and Adverum Biotechnologies, Inc. </w:t>
              </w:r>
            </w:hyperlink>
          </w:p>
        </w:tc>
      </w:tr>
      <w:tr>
        <w:trPr>
          <w:trHeight w:val="120" w:hRule="atLeast"/>
        </w:trPr>
        <w:tc>
          <w:tcPr>
            <w:tcW w:w="612" w:type="dxa"/>
            <w:tcBorders/>
            <w:vAlign w:val="center"/>
          </w:tcPr>
          <w:p>
            <w:pPr>
              <w:pStyle w:val="TableContents"/>
              <w:bidi w:val="0"/>
              <w:spacing w:before="0" w:after="283"/>
              <w:jc w:val="left"/>
              <w:rPr>
                <w:sz w:val="4"/>
                <w:szCs w:val="4"/>
              </w:rPr>
            </w:pPr>
            <w:r>
              <w:rPr>
                <w:sz w:val="4"/>
                <w:szCs w:val="4"/>
              </w:rPr>
            </w:r>
          </w:p>
        </w:tc>
        <w:tc>
          <w:tcPr>
            <w:tcW w:w="9593" w:type="dxa"/>
            <w:gridSpan w:val="2"/>
            <w:tcBorders/>
            <w:vAlign w:val="center"/>
          </w:tcPr>
          <w:p>
            <w:pPr>
              <w:pStyle w:val="TableContents"/>
              <w:bidi w:val="0"/>
              <w:spacing w:before="0" w:after="283"/>
              <w:jc w:val="left"/>
              <w:rPr>
                <w:sz w:val="4"/>
                <w:szCs w:val="4"/>
              </w:rPr>
            </w:pPr>
            <w:r>
              <w:rPr>
                <w:sz w:val="4"/>
                <w:szCs w:val="4"/>
              </w:rPr>
            </w:r>
          </w:p>
        </w:tc>
      </w:tr>
      <w:tr>
        <w:trPr/>
        <w:tc>
          <w:tcPr>
            <w:tcW w:w="612" w:type="dxa"/>
            <w:tcBorders/>
          </w:tcPr>
          <w:p>
            <w:pPr>
              <w:pStyle w:val="TableContents"/>
              <w:bidi w:val="0"/>
              <w:spacing w:before="0" w:after="283"/>
              <w:jc w:val="left"/>
              <w:rPr/>
            </w:pPr>
            <w:r>
              <w:rPr/>
              <w:t>(d)(5)*</w:t>
            </w:r>
          </w:p>
        </w:tc>
        <w:tc>
          <w:tcPr>
            <w:tcW w:w="510" w:type="dxa"/>
            <w:tcBorders/>
            <w:vAlign w:val="bottom"/>
          </w:tcPr>
          <w:p>
            <w:pPr>
              <w:pStyle w:val="TableContents"/>
              <w:bidi w:val="0"/>
              <w:spacing w:before="0" w:after="283"/>
              <w:jc w:val="left"/>
              <w:rPr/>
            </w:pPr>
            <w:r>
              <w:rPr/>
              <w:t>  </w:t>
            </w:r>
          </w:p>
        </w:tc>
        <w:tc>
          <w:tcPr>
            <w:tcW w:w="9083" w:type="dxa"/>
            <w:tcBorders/>
          </w:tcPr>
          <w:p>
            <w:pPr>
              <w:pStyle w:val="TableContents"/>
              <w:bidi w:val="0"/>
              <w:spacing w:before="0" w:after="283"/>
              <w:jc w:val="left"/>
              <w:rPr/>
            </w:pPr>
            <w:hyperlink w:anchor="d67752dex99d5.htm">
              <w:r>
                <w:rPr>
                  <w:rStyle w:val="InternetLink"/>
                </w:rPr>
                <w:t xml:space="preserve">First Amendment to Confidentiality Agreement, effective as of November 4, 2025, by and between Eli Lilly and Company and Adverum Biotechnologies, Inc. </w:t>
              </w:r>
            </w:hyperlink>
          </w:p>
        </w:tc>
      </w:tr>
      <w:tr>
        <w:trPr>
          <w:trHeight w:val="120" w:hRule="atLeast"/>
        </w:trPr>
        <w:tc>
          <w:tcPr>
            <w:tcW w:w="612" w:type="dxa"/>
            <w:tcBorders/>
            <w:vAlign w:val="center"/>
          </w:tcPr>
          <w:p>
            <w:pPr>
              <w:pStyle w:val="TableContents"/>
              <w:bidi w:val="0"/>
              <w:spacing w:before="0" w:after="283"/>
              <w:jc w:val="left"/>
              <w:rPr>
                <w:sz w:val="4"/>
                <w:szCs w:val="4"/>
              </w:rPr>
            </w:pPr>
            <w:r>
              <w:rPr>
                <w:sz w:val="4"/>
                <w:szCs w:val="4"/>
              </w:rPr>
            </w:r>
          </w:p>
        </w:tc>
        <w:tc>
          <w:tcPr>
            <w:tcW w:w="9593" w:type="dxa"/>
            <w:gridSpan w:val="2"/>
            <w:tcBorders/>
            <w:vAlign w:val="center"/>
          </w:tcPr>
          <w:p>
            <w:pPr>
              <w:pStyle w:val="TableContents"/>
              <w:bidi w:val="0"/>
              <w:spacing w:before="0" w:after="283"/>
              <w:jc w:val="left"/>
              <w:rPr>
                <w:sz w:val="4"/>
                <w:szCs w:val="4"/>
              </w:rPr>
            </w:pPr>
            <w:r>
              <w:rPr>
                <w:sz w:val="4"/>
                <w:szCs w:val="4"/>
              </w:rPr>
            </w:r>
          </w:p>
        </w:tc>
      </w:tr>
      <w:tr>
        <w:trPr/>
        <w:tc>
          <w:tcPr>
            <w:tcW w:w="612" w:type="dxa"/>
            <w:tcBorders/>
          </w:tcPr>
          <w:p>
            <w:pPr>
              <w:pStyle w:val="TableContents"/>
              <w:bidi w:val="0"/>
              <w:spacing w:before="0" w:after="283"/>
              <w:jc w:val="left"/>
              <w:rPr/>
            </w:pPr>
            <w:r>
              <w:rPr/>
              <w:t>(g)</w:t>
            </w:r>
          </w:p>
        </w:tc>
        <w:tc>
          <w:tcPr>
            <w:tcW w:w="510" w:type="dxa"/>
            <w:tcBorders/>
            <w:vAlign w:val="bottom"/>
          </w:tcPr>
          <w:p>
            <w:pPr>
              <w:pStyle w:val="TableContents"/>
              <w:bidi w:val="0"/>
              <w:spacing w:before="0" w:after="283"/>
              <w:jc w:val="left"/>
              <w:rPr/>
            </w:pPr>
            <w:r>
              <w:rPr/>
              <w:t>  </w:t>
            </w:r>
          </w:p>
        </w:tc>
        <w:tc>
          <w:tcPr>
            <w:tcW w:w="9083" w:type="dxa"/>
            <w:tcBorders/>
          </w:tcPr>
          <w:p>
            <w:pPr>
              <w:pStyle w:val="TableContents"/>
              <w:bidi w:val="0"/>
              <w:spacing w:before="0" w:after="283"/>
              <w:jc w:val="left"/>
              <w:rPr/>
            </w:pPr>
            <w:r>
              <w:rPr/>
              <w:t>None.</w:t>
            </w:r>
          </w:p>
        </w:tc>
      </w:tr>
      <w:tr>
        <w:trPr>
          <w:trHeight w:val="120" w:hRule="atLeast"/>
        </w:trPr>
        <w:tc>
          <w:tcPr>
            <w:tcW w:w="612" w:type="dxa"/>
            <w:tcBorders/>
            <w:vAlign w:val="center"/>
          </w:tcPr>
          <w:p>
            <w:pPr>
              <w:pStyle w:val="TableContents"/>
              <w:bidi w:val="0"/>
              <w:spacing w:before="0" w:after="283"/>
              <w:jc w:val="left"/>
              <w:rPr>
                <w:sz w:val="4"/>
                <w:szCs w:val="4"/>
              </w:rPr>
            </w:pPr>
            <w:r>
              <w:rPr>
                <w:sz w:val="4"/>
                <w:szCs w:val="4"/>
              </w:rPr>
            </w:r>
          </w:p>
        </w:tc>
        <w:tc>
          <w:tcPr>
            <w:tcW w:w="9593" w:type="dxa"/>
            <w:gridSpan w:val="2"/>
            <w:tcBorders/>
            <w:vAlign w:val="center"/>
          </w:tcPr>
          <w:p>
            <w:pPr>
              <w:pStyle w:val="TableContents"/>
              <w:bidi w:val="0"/>
              <w:spacing w:before="0" w:after="283"/>
              <w:jc w:val="left"/>
              <w:rPr>
                <w:sz w:val="4"/>
                <w:szCs w:val="4"/>
              </w:rPr>
            </w:pPr>
            <w:r>
              <w:rPr>
                <w:sz w:val="4"/>
                <w:szCs w:val="4"/>
              </w:rPr>
            </w:r>
          </w:p>
        </w:tc>
      </w:tr>
      <w:tr>
        <w:trPr/>
        <w:tc>
          <w:tcPr>
            <w:tcW w:w="612" w:type="dxa"/>
            <w:tcBorders/>
          </w:tcPr>
          <w:p>
            <w:pPr>
              <w:pStyle w:val="TableContents"/>
              <w:bidi w:val="0"/>
              <w:spacing w:before="0" w:after="283"/>
              <w:jc w:val="left"/>
              <w:rPr/>
            </w:pPr>
            <w:r>
              <w:rPr/>
              <w:t>(h)</w:t>
            </w:r>
          </w:p>
        </w:tc>
        <w:tc>
          <w:tcPr>
            <w:tcW w:w="510" w:type="dxa"/>
            <w:tcBorders/>
            <w:vAlign w:val="bottom"/>
          </w:tcPr>
          <w:p>
            <w:pPr>
              <w:pStyle w:val="TableContents"/>
              <w:bidi w:val="0"/>
              <w:spacing w:before="0" w:after="283"/>
              <w:jc w:val="left"/>
              <w:rPr/>
            </w:pPr>
            <w:r>
              <w:rPr/>
              <w:t>  </w:t>
            </w:r>
          </w:p>
        </w:tc>
        <w:tc>
          <w:tcPr>
            <w:tcW w:w="9083" w:type="dxa"/>
            <w:tcBorders/>
          </w:tcPr>
          <w:p>
            <w:pPr>
              <w:pStyle w:val="TableContents"/>
              <w:bidi w:val="0"/>
              <w:spacing w:before="0" w:after="283"/>
              <w:jc w:val="left"/>
              <w:rPr/>
            </w:pPr>
            <w:r>
              <w:rPr/>
              <w:t>None.</w:t>
            </w:r>
          </w:p>
        </w:tc>
      </w:tr>
      <w:tr>
        <w:trPr>
          <w:trHeight w:val="120" w:hRule="atLeast"/>
        </w:trPr>
        <w:tc>
          <w:tcPr>
            <w:tcW w:w="612" w:type="dxa"/>
            <w:tcBorders/>
            <w:vAlign w:val="center"/>
          </w:tcPr>
          <w:p>
            <w:pPr>
              <w:pStyle w:val="TableContents"/>
              <w:bidi w:val="0"/>
              <w:spacing w:before="0" w:after="283"/>
              <w:jc w:val="left"/>
              <w:rPr>
                <w:sz w:val="4"/>
                <w:szCs w:val="4"/>
              </w:rPr>
            </w:pPr>
            <w:r>
              <w:rPr>
                <w:sz w:val="4"/>
                <w:szCs w:val="4"/>
              </w:rPr>
            </w:r>
          </w:p>
        </w:tc>
        <w:tc>
          <w:tcPr>
            <w:tcW w:w="9593" w:type="dxa"/>
            <w:gridSpan w:val="2"/>
            <w:tcBorders/>
            <w:vAlign w:val="center"/>
          </w:tcPr>
          <w:p>
            <w:pPr>
              <w:pStyle w:val="TableContents"/>
              <w:bidi w:val="0"/>
              <w:spacing w:before="0" w:after="283"/>
              <w:jc w:val="left"/>
              <w:rPr>
                <w:sz w:val="4"/>
                <w:szCs w:val="4"/>
              </w:rPr>
            </w:pPr>
            <w:r>
              <w:rPr>
                <w:sz w:val="4"/>
                <w:szCs w:val="4"/>
              </w:rPr>
            </w:r>
          </w:p>
        </w:tc>
      </w:tr>
      <w:tr>
        <w:trPr/>
        <w:tc>
          <w:tcPr>
            <w:tcW w:w="612" w:type="dxa"/>
            <w:tcBorders/>
          </w:tcPr>
          <w:p>
            <w:pPr>
              <w:pStyle w:val="TableContents"/>
              <w:bidi w:val="0"/>
              <w:spacing w:before="0" w:after="283"/>
              <w:jc w:val="left"/>
              <w:rPr/>
            </w:pPr>
            <w:r>
              <w:rPr/>
              <w:t>107*</w:t>
            </w:r>
          </w:p>
        </w:tc>
        <w:tc>
          <w:tcPr>
            <w:tcW w:w="510" w:type="dxa"/>
            <w:tcBorders/>
            <w:vAlign w:val="bottom"/>
          </w:tcPr>
          <w:p>
            <w:pPr>
              <w:pStyle w:val="TableContents"/>
              <w:bidi w:val="0"/>
              <w:spacing w:before="0" w:after="283"/>
              <w:jc w:val="left"/>
              <w:rPr/>
            </w:pPr>
            <w:r>
              <w:rPr/>
              <w:t>  </w:t>
            </w:r>
          </w:p>
        </w:tc>
        <w:tc>
          <w:tcPr>
            <w:tcW w:w="9083" w:type="dxa"/>
            <w:tcBorders/>
          </w:tcPr>
          <w:p>
            <w:pPr>
              <w:pStyle w:val="TableContents"/>
              <w:bidi w:val="0"/>
              <w:spacing w:before="0" w:after="283"/>
              <w:jc w:val="left"/>
              <w:rPr/>
            </w:pPr>
            <w:hyperlink w:anchor="d67752dexfilingfees.htm">
              <w:r>
                <w:rPr>
                  <w:rStyle w:val="InternetLink"/>
                </w:rPr>
                <w:t>Filing Fee Table.</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After due inquiry and to the best knowledge and belief of the undersigned, each of the undersigned certifies that the information set forth in this statement is true, complete and correct.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807"/>
        <w:gridCol w:w="100"/>
        <w:gridCol w:w="408"/>
        <w:gridCol w:w="60"/>
        <w:gridCol w:w="23"/>
        <w:gridCol w:w="101"/>
        <w:gridCol w:w="4706"/>
      </w:tblGrid>
      <w:tr>
        <w:trPr/>
        <w:tc>
          <w:tcPr>
            <w:tcW w:w="4807"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807" w:type="dxa"/>
            <w:tcBorders/>
          </w:tcPr>
          <w:p>
            <w:pPr>
              <w:pStyle w:val="TableContents"/>
              <w:bidi w:val="0"/>
              <w:spacing w:before="0" w:after="283"/>
              <w:jc w:val="left"/>
              <w:rPr/>
            </w:pPr>
            <w:r>
              <w:rPr/>
              <w:t>Date: November 7, 2025</w:t>
            </w:r>
          </w:p>
        </w:tc>
        <w:tc>
          <w:tcPr>
            <w:tcW w:w="100"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06" w:type="dxa"/>
            <w:tcBorders/>
          </w:tcPr>
          <w:p>
            <w:pPr>
              <w:pStyle w:val="TableContents"/>
              <w:bidi w:val="0"/>
              <w:spacing w:before="0" w:after="283"/>
              <w:jc w:val="left"/>
              <w:rPr/>
            </w:pPr>
            <w:r>
              <w:rPr>
                <w:b/>
              </w:rPr>
              <w:t>FLYING TIGERS ACQUISITION</w:t>
            </w:r>
            <w:r>
              <w:rPr/>
              <w:t xml:space="preserve"> </w:t>
            </w:r>
            <w:r>
              <w:rPr>
                <w:b/>
              </w:rPr>
              <w:t>CORPORATION</w:t>
            </w:r>
          </w:p>
        </w:tc>
      </w:tr>
      <w:tr>
        <w:trPr>
          <w:trHeight w:val="240" w:hRule="atLeast"/>
        </w:trPr>
        <w:tc>
          <w:tcPr>
            <w:tcW w:w="4807"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807" w:type="dxa"/>
            <w:gridSpan w:val="2"/>
            <w:tcBorders/>
            <w:vAlign w:val="center"/>
          </w:tcPr>
          <w:p>
            <w:pPr>
              <w:pStyle w:val="TableContents"/>
              <w:bidi w:val="0"/>
              <w:spacing w:before="0" w:after="283"/>
              <w:jc w:val="left"/>
              <w:rPr>
                <w:sz w:val="4"/>
                <w:szCs w:val="4"/>
              </w:rPr>
            </w:pPr>
            <w:r>
              <w:rPr>
                <w:sz w:val="4"/>
                <w:szCs w:val="4"/>
              </w:rPr>
            </w:r>
          </w:p>
        </w:tc>
      </w:tr>
      <w:tr>
        <w:trPr/>
        <w:tc>
          <w:tcPr>
            <w:tcW w:w="4807"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706" w:type="dxa"/>
            <w:tcBorders>
              <w:bottom w:val="single" w:sz="2" w:space="0" w:color="000000"/>
            </w:tcBorders>
            <w:tcMar>
              <w:bottom w:w="28" w:type="dxa"/>
            </w:tcMar>
          </w:tcPr>
          <w:p>
            <w:pPr>
              <w:pStyle w:val="TableContents"/>
              <w:bidi w:val="0"/>
              <w:spacing w:before="0" w:after="283"/>
              <w:jc w:val="left"/>
              <w:rPr/>
            </w:pPr>
            <w:r>
              <w:rPr/>
              <w:t>/s/ Jonathan R. Haug</w:t>
            </w:r>
          </w:p>
        </w:tc>
      </w:tr>
      <w:tr>
        <w:trPr/>
        <w:tc>
          <w:tcPr>
            <w:tcW w:w="4807"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06" w:type="dxa"/>
            <w:tcBorders/>
          </w:tcPr>
          <w:p>
            <w:pPr>
              <w:pStyle w:val="TableContents"/>
              <w:bidi w:val="0"/>
              <w:spacing w:before="0" w:after="283"/>
              <w:jc w:val="left"/>
              <w:rPr/>
            </w:pPr>
            <w:r>
              <w:rPr/>
              <w:t>Name: Jonathan R. Haug</w:t>
            </w:r>
          </w:p>
        </w:tc>
      </w:tr>
      <w:tr>
        <w:trPr/>
        <w:tc>
          <w:tcPr>
            <w:tcW w:w="4807"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06" w:type="dxa"/>
            <w:tcBorders/>
          </w:tcPr>
          <w:p>
            <w:pPr>
              <w:pStyle w:val="TableContents"/>
              <w:bidi w:val="0"/>
              <w:spacing w:before="0" w:after="283"/>
              <w:jc w:val="left"/>
              <w:rPr/>
            </w:pPr>
            <w:r>
              <w:rPr/>
              <w:t>Title:  President</w:t>
            </w:r>
          </w:p>
        </w:tc>
      </w:tr>
      <w:tr>
        <w:trPr>
          <w:trHeight w:val="240" w:hRule="atLeast"/>
        </w:trPr>
        <w:tc>
          <w:tcPr>
            <w:tcW w:w="4807"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807" w:type="dxa"/>
            <w:gridSpan w:val="2"/>
            <w:tcBorders/>
            <w:vAlign w:val="center"/>
          </w:tcPr>
          <w:p>
            <w:pPr>
              <w:pStyle w:val="TableContents"/>
              <w:bidi w:val="0"/>
              <w:spacing w:before="0" w:after="283"/>
              <w:jc w:val="left"/>
              <w:rPr>
                <w:sz w:val="4"/>
                <w:szCs w:val="4"/>
              </w:rPr>
            </w:pPr>
            <w:r>
              <w:rPr>
                <w:sz w:val="4"/>
                <w:szCs w:val="4"/>
              </w:rPr>
            </w:r>
          </w:p>
        </w:tc>
      </w:tr>
      <w:tr>
        <w:trPr/>
        <w:tc>
          <w:tcPr>
            <w:tcW w:w="4807"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06" w:type="dxa"/>
            <w:tcBorders/>
          </w:tcPr>
          <w:p>
            <w:pPr>
              <w:pStyle w:val="TableContents"/>
              <w:bidi w:val="0"/>
              <w:spacing w:before="0" w:after="283"/>
              <w:jc w:val="left"/>
              <w:rPr>
                <w:b/>
              </w:rPr>
            </w:pPr>
            <w:r>
              <w:rPr>
                <w:b/>
              </w:rPr>
              <w:t>ELI LILLY AND COMPANY</w:t>
            </w:r>
          </w:p>
        </w:tc>
      </w:tr>
      <w:tr>
        <w:trPr>
          <w:trHeight w:val="240" w:hRule="atLeast"/>
        </w:trPr>
        <w:tc>
          <w:tcPr>
            <w:tcW w:w="4807"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807" w:type="dxa"/>
            <w:gridSpan w:val="2"/>
            <w:tcBorders/>
            <w:vAlign w:val="center"/>
          </w:tcPr>
          <w:p>
            <w:pPr>
              <w:pStyle w:val="TableContents"/>
              <w:bidi w:val="0"/>
              <w:spacing w:before="0" w:after="283"/>
              <w:jc w:val="left"/>
              <w:rPr>
                <w:sz w:val="4"/>
                <w:szCs w:val="4"/>
              </w:rPr>
            </w:pPr>
            <w:r>
              <w:rPr>
                <w:sz w:val="4"/>
                <w:szCs w:val="4"/>
              </w:rPr>
            </w:r>
          </w:p>
        </w:tc>
      </w:tr>
      <w:tr>
        <w:trPr/>
        <w:tc>
          <w:tcPr>
            <w:tcW w:w="4807"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706" w:type="dxa"/>
            <w:tcBorders>
              <w:bottom w:val="single" w:sz="2" w:space="0" w:color="000000"/>
            </w:tcBorders>
            <w:tcMar>
              <w:bottom w:w="28" w:type="dxa"/>
            </w:tcMar>
          </w:tcPr>
          <w:p>
            <w:pPr>
              <w:pStyle w:val="TableContents"/>
              <w:bidi w:val="0"/>
              <w:spacing w:before="0" w:after="283"/>
              <w:jc w:val="left"/>
              <w:rPr/>
            </w:pPr>
            <w:r>
              <w:rPr/>
              <w:t>/s/ Jonathan Groff</w:t>
            </w:r>
          </w:p>
        </w:tc>
      </w:tr>
      <w:tr>
        <w:trPr/>
        <w:tc>
          <w:tcPr>
            <w:tcW w:w="4807"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06" w:type="dxa"/>
            <w:tcBorders/>
          </w:tcPr>
          <w:p>
            <w:pPr>
              <w:pStyle w:val="TableContents"/>
              <w:bidi w:val="0"/>
              <w:spacing w:before="0" w:after="283"/>
              <w:jc w:val="left"/>
              <w:rPr/>
            </w:pPr>
            <w:r>
              <w:rPr/>
              <w:t>Name: Jonathan Groff</w:t>
            </w:r>
          </w:p>
        </w:tc>
      </w:tr>
      <w:tr>
        <w:trPr/>
        <w:tc>
          <w:tcPr>
            <w:tcW w:w="4807"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06" w:type="dxa"/>
            <w:tcBorders/>
          </w:tcPr>
          <w:p>
            <w:pPr>
              <w:pStyle w:val="TableContents"/>
              <w:bidi w:val="0"/>
              <w:spacing w:before="0" w:after="283"/>
              <w:jc w:val="left"/>
              <w:rPr/>
            </w:pPr>
            <w:r>
              <w:rPr/>
              <w:t>Title:  Associate Vice President and Assistant General Counsel</w:t>
            </w:r>
          </w:p>
        </w:tc>
      </w:tr>
    </w:tbl>
    <w:p>
      <w:pPr>
        <w:pStyle w:val="TextBody"/>
        <w:bidi w:val="0"/>
        <w:spacing w:before="0" w:after="0"/>
        <w:jc w:val="right"/>
        <w:rPr>
          <w:rFonts w:ascii="Times New Roman" w:hAnsi="Times New Roman"/>
          <w:b/>
          <w:sz w:val="20"/>
        </w:rPr>
      </w:pPr>
      <w:bookmarkStart w:id="2" w:name="d67752dex99a1a.htm"/>
      <w:bookmarkStart w:id="3" w:name="ksd67752dex99a1a"/>
      <w:bookmarkEnd w:id="2"/>
      <w:bookmarkEnd w:id="3"/>
      <w:r>
        <w:rPr>
          <w:rFonts w:ascii="Times New Roman" w:hAnsi="Times New Roman"/>
          <w:b/>
          <w:sz w:val="20"/>
        </w:rPr>
        <w:t xml:space="preserve">Exhibit (a)(1)(A) </w:t>
      </w:r>
      <w:r>
        <w:br w:type="page"/>
      </w:r>
    </w:p>
    <w:p>
      <w:pPr>
        <w:pStyle w:val="TextBody"/>
        <w:bidi w:val="0"/>
        <w:spacing w:before="120" w:after="0"/>
        <w:jc w:val="center"/>
        <w:rPr>
          <w:rFonts w:ascii="Times New Roman" w:hAnsi="Times New Roman"/>
          <w:b/>
          <w:sz w:val="20"/>
        </w:rPr>
      </w:pPr>
      <w:r>
        <w:rPr>
          <w:rFonts w:ascii="Times New Roman" w:hAnsi="Times New Roman"/>
          <w:b/>
          <w:sz w:val="20"/>
        </w:rPr>
        <w:t xml:space="preserve">Offer to Purchase </w:t>
      </w:r>
    </w:p>
    <w:p>
      <w:pPr>
        <w:pStyle w:val="TextBody"/>
        <w:bidi w:val="0"/>
        <w:spacing w:before="120" w:after="0"/>
        <w:jc w:val="center"/>
        <w:rPr>
          <w:rFonts w:ascii="Times New Roman" w:hAnsi="Times New Roman"/>
          <w:b/>
          <w:sz w:val="20"/>
        </w:rPr>
      </w:pPr>
      <w:r>
        <w:rPr>
          <w:rFonts w:ascii="Times New Roman" w:hAnsi="Times New Roman"/>
          <w:b/>
          <w:sz w:val="20"/>
        </w:rPr>
        <w:t xml:space="preserve">All Outstanding Shares of Common Stock </w:t>
      </w:r>
    </w:p>
    <w:p>
      <w:pPr>
        <w:pStyle w:val="TextBody"/>
        <w:bidi w:val="0"/>
        <w:spacing w:before="120" w:after="0"/>
        <w:jc w:val="center"/>
        <w:rPr>
          <w:rFonts w:ascii="Times New Roman" w:hAnsi="Times New Roman"/>
          <w:b/>
          <w:sz w:val="20"/>
        </w:rPr>
      </w:pPr>
      <w:r>
        <w:rPr>
          <w:rFonts w:ascii="Times New Roman" w:hAnsi="Times New Roman"/>
          <w:b/>
          <w:sz w:val="20"/>
        </w:rPr>
        <w:t xml:space="preserve">of </w:t>
      </w:r>
    </w:p>
    <w:p>
      <w:pPr>
        <w:pStyle w:val="TextBody"/>
        <w:bidi w:val="0"/>
        <w:spacing w:before="120" w:after="0"/>
        <w:jc w:val="center"/>
        <w:rPr>
          <w:rFonts w:ascii="Times New Roman" w:hAnsi="Times New Roman"/>
          <w:b/>
          <w:sz w:val="20"/>
        </w:rPr>
      </w:pPr>
      <w:r>
        <w:rPr>
          <w:rFonts w:ascii="Times New Roman" w:hAnsi="Times New Roman"/>
          <w:b/>
          <w:sz w:val="20"/>
        </w:rPr>
        <w:t xml:space="preserve">ADVERUM BIOTECHNOLOGIES, INC. </w:t>
      </w:r>
    </w:p>
    <w:p>
      <w:pPr>
        <w:pStyle w:val="TextBody"/>
        <w:bidi w:val="0"/>
        <w:spacing w:before="120" w:after="0"/>
        <w:jc w:val="center"/>
        <w:rPr>
          <w:rFonts w:ascii="Times New Roman" w:hAnsi="Times New Roman"/>
          <w:b/>
          <w:sz w:val="20"/>
        </w:rPr>
      </w:pPr>
      <w:r>
        <w:rPr>
          <w:rFonts w:ascii="Times New Roman" w:hAnsi="Times New Roman"/>
          <w:b/>
          <w:sz w:val="20"/>
        </w:rPr>
        <w:t xml:space="preserve">at </w:t>
      </w:r>
    </w:p>
    <w:p>
      <w:pPr>
        <w:pStyle w:val="TextBody"/>
        <w:bidi w:val="0"/>
        <w:spacing w:before="120" w:after="0"/>
        <w:jc w:val="center"/>
        <w:rPr>
          <w:rFonts w:ascii="Times New Roman" w:hAnsi="Times New Roman"/>
          <w:b/>
          <w:sz w:val="20"/>
        </w:rPr>
      </w:pPr>
      <w:r>
        <w:rPr>
          <w:rFonts w:ascii="Times New Roman" w:hAnsi="Times New Roman"/>
          <w:b/>
          <w:sz w:val="20"/>
        </w:rPr>
        <w:t xml:space="preserve">$3.56 per share, net to the stockholder in cash, without interest and less any applicable tax withholding, </w:t>
      </w:r>
    </w:p>
    <w:p>
      <w:pPr>
        <w:pStyle w:val="TextBody"/>
        <w:bidi w:val="0"/>
        <w:spacing w:before="0" w:after="0"/>
        <w:jc w:val="center"/>
        <w:rPr>
          <w:rFonts w:ascii="Times New Roman" w:hAnsi="Times New Roman"/>
          <w:sz w:val="20"/>
        </w:rPr>
      </w:pPr>
      <w:r>
        <w:rPr>
          <w:rFonts w:ascii="Times New Roman" w:hAnsi="Times New Roman"/>
          <w:b/>
          <w:i/>
          <w:sz w:val="20"/>
        </w:rPr>
        <w:t>plus</w:t>
      </w:r>
      <w:r>
        <w:rPr>
          <w:rFonts w:ascii="Times New Roman" w:hAnsi="Times New Roman"/>
          <w:sz w:val="20"/>
        </w:rPr>
        <w:t xml:space="preserve"> </w:t>
      </w:r>
      <w:r>
        <w:rPr>
          <w:rFonts w:ascii="Times New Roman" w:hAnsi="Times New Roman"/>
          <w:b/>
          <w:sz w:val="20"/>
        </w:rPr>
        <w:t xml:space="preserve">one non-tradable contingent value right (“CVR”) per share, </w:t>
      </w:r>
    </w:p>
    <w:p>
      <w:pPr>
        <w:pStyle w:val="TextBody"/>
        <w:bidi w:val="0"/>
        <w:spacing w:before="0" w:after="0"/>
        <w:jc w:val="center"/>
        <w:rPr>
          <w:rFonts w:ascii="Times New Roman" w:hAnsi="Times New Roman"/>
          <w:b/>
          <w:sz w:val="20"/>
        </w:rPr>
      </w:pPr>
      <w:r>
        <w:rPr>
          <w:rFonts w:ascii="Times New Roman" w:hAnsi="Times New Roman"/>
          <w:b/>
          <w:sz w:val="20"/>
        </w:rPr>
        <w:t xml:space="preserve">which represents the contractual right to receive up to two contingent cash payments of up to an aggregate of $8.91 per CVR, net to the </w:t>
      </w:r>
    </w:p>
    <w:p>
      <w:pPr>
        <w:pStyle w:val="TextBody"/>
        <w:bidi w:val="0"/>
        <w:spacing w:before="0" w:after="0"/>
        <w:jc w:val="center"/>
        <w:rPr>
          <w:rFonts w:ascii="Times New Roman" w:hAnsi="Times New Roman"/>
          <w:b/>
          <w:sz w:val="20"/>
        </w:rPr>
      </w:pPr>
      <w:r>
        <w:rPr>
          <w:rFonts w:ascii="Times New Roman" w:hAnsi="Times New Roman"/>
          <w:b/>
          <w:sz w:val="20"/>
        </w:rPr>
        <w:t xml:space="preserve">stockholder in cash, without interest and less any applicable tax withholding, upon the achievement of </w:t>
      </w:r>
    </w:p>
    <w:p>
      <w:pPr>
        <w:pStyle w:val="TextBody"/>
        <w:bidi w:val="0"/>
        <w:spacing w:before="0" w:after="0"/>
        <w:jc w:val="center"/>
        <w:rPr>
          <w:rFonts w:ascii="Times New Roman" w:hAnsi="Times New Roman"/>
          <w:b/>
          <w:sz w:val="20"/>
        </w:rPr>
      </w:pPr>
      <w:r>
        <w:rPr>
          <w:rFonts w:ascii="Times New Roman" w:hAnsi="Times New Roman"/>
          <w:b/>
          <w:sz w:val="20"/>
        </w:rPr>
        <w:t xml:space="preserve">certain specified milestones </w:t>
      </w:r>
    </w:p>
    <w:p>
      <w:pPr>
        <w:pStyle w:val="TextBody"/>
        <w:bidi w:val="0"/>
        <w:spacing w:before="120" w:after="0"/>
        <w:jc w:val="center"/>
        <w:rPr>
          <w:rFonts w:ascii="Times New Roman" w:hAnsi="Times New Roman"/>
          <w:b/>
          <w:sz w:val="20"/>
        </w:rPr>
      </w:pPr>
      <w:r>
        <w:rPr>
          <w:rFonts w:ascii="Times New Roman" w:hAnsi="Times New Roman"/>
          <w:b/>
          <w:sz w:val="20"/>
        </w:rPr>
        <w:t xml:space="preserve">by </w:t>
      </w:r>
    </w:p>
    <w:p>
      <w:pPr>
        <w:pStyle w:val="TextBody"/>
        <w:bidi w:val="0"/>
        <w:spacing w:before="120" w:after="0"/>
        <w:jc w:val="center"/>
        <w:rPr>
          <w:rFonts w:ascii="Times New Roman" w:hAnsi="Times New Roman"/>
          <w:b/>
          <w:sz w:val="20"/>
        </w:rPr>
      </w:pPr>
      <w:r>
        <w:rPr>
          <w:rFonts w:ascii="Times New Roman" w:hAnsi="Times New Roman"/>
          <w:b/>
          <w:sz w:val="20"/>
        </w:rPr>
        <w:t xml:space="preserve">FLYING TIGERS ACQUISITION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a direct wholly-owned subsidiary of </w:t>
      </w:r>
    </w:p>
    <w:p>
      <w:pPr>
        <w:pStyle w:val="TextBody"/>
        <w:bidi w:val="0"/>
        <w:spacing w:before="120" w:after="0"/>
        <w:jc w:val="center"/>
        <w:rPr>
          <w:rFonts w:ascii="Times New Roman" w:hAnsi="Times New Roman"/>
          <w:b/>
          <w:sz w:val="20"/>
        </w:rPr>
      </w:pPr>
      <w:r>
        <w:rPr>
          <w:rFonts w:ascii="Times New Roman" w:hAnsi="Times New Roman"/>
          <w:b/>
          <w:sz w:val="20"/>
        </w:rPr>
        <w:t xml:space="preserve">ELI LILLY AND COMPANY </w:t>
      </w:r>
    </w:p>
    <w:p>
      <w:pPr>
        <w:pStyle w:val="TextBody"/>
        <w:bidi w:val="0"/>
        <w:spacing w:before="0" w:after="0"/>
        <w:jc w:val="left"/>
        <w:rPr/>
      </w:pPr>
      <w:r>
        <w:rPr/>
        <w:t> </w:t>
      </w:r>
    </w:p>
    <w:p>
      <w:pPr>
        <w:pStyle w:val="TextBody"/>
        <w:pBdr/>
        <w:bidi w:val="0"/>
        <w:spacing w:before="0" w:after="0"/>
        <w:jc w:val="center"/>
        <w:rPr>
          <w:rFonts w:ascii="Times New Roman" w:hAnsi="Times New Roman"/>
          <w:b/>
          <w:sz w:val="20"/>
          <w:bdr w:val="single" w:sz="2" w:space="2" w:color="000000"/>
        </w:rPr>
      </w:pPr>
      <w:r>
        <w:rPr>
          <w:rFonts w:ascii="Times New Roman" w:hAnsi="Times New Roman"/>
          <w:b/>
          <w:sz w:val="20"/>
          <w:bdr w:val="single" w:sz="2" w:space="2" w:color="000000"/>
        </w:rPr>
        <w:t xml:space="preserve">THE OFFER AND WITHDRAWAL RIGHTS WILL EXPIRE AT ONE MINUTE PAST 11:59 P.M., </w:t>
      </w:r>
    </w:p>
    <w:p>
      <w:pPr>
        <w:pStyle w:val="TextBody"/>
        <w:bidi w:val="0"/>
        <w:spacing w:before="0" w:after="0"/>
        <w:jc w:val="center"/>
        <w:rPr>
          <w:rFonts w:ascii="Times New Roman" w:hAnsi="Times New Roman"/>
          <w:b/>
          <w:sz w:val="20"/>
          <w:bdr w:val="single" w:sz="2" w:space="2" w:color="000000"/>
        </w:rPr>
      </w:pPr>
      <w:r>
        <w:rPr>
          <w:rFonts w:ascii="Times New Roman" w:hAnsi="Times New Roman"/>
          <w:b/>
          <w:sz w:val="20"/>
          <w:bdr w:val="single" w:sz="2" w:space="2" w:color="000000"/>
        </w:rPr>
        <w:t xml:space="preserve">EASTERN TIME, ON DECEMBER 8, 2025, UNLESS THE OFFER IS EXTENDED OR EARLIER </w:t>
      </w:r>
    </w:p>
    <w:p>
      <w:pPr>
        <w:pStyle w:val="TextBody"/>
        <w:pBdr/>
        <w:bidi w:val="0"/>
        <w:spacing w:before="0" w:after="0"/>
        <w:jc w:val="center"/>
        <w:rPr>
          <w:rFonts w:ascii="Times New Roman" w:hAnsi="Times New Roman"/>
          <w:b/>
          <w:sz w:val="20"/>
          <w:bdr w:val="single" w:sz="2" w:space="2" w:color="000000"/>
        </w:rPr>
      </w:pPr>
      <w:r>
        <w:rPr>
          <w:rFonts w:ascii="Times New Roman" w:hAnsi="Times New Roman"/>
          <w:b/>
          <w:sz w:val="20"/>
          <w:bdr w:val="single" w:sz="2" w:space="2" w:color="000000"/>
        </w:rPr>
        <w:t xml:space="preserve">TERMINATED. </w:t>
      </w:r>
    </w:p>
    <w:p>
      <w:pPr>
        <w:pStyle w:val="TextBody"/>
        <w:bidi w:val="0"/>
        <w:spacing w:before="240" w:after="0"/>
        <w:jc w:val="left"/>
        <w:rPr>
          <w:rFonts w:ascii="Times New Roman" w:hAnsi="Times New Roman"/>
          <w:sz w:val="20"/>
        </w:rPr>
      </w:pPr>
      <w:r>
        <w:rPr>
          <w:rFonts w:ascii="Times New Roman" w:hAnsi="Times New Roman"/>
          <w:sz w:val="20"/>
        </w:rPr>
        <w:t xml:space="preserve">Flying Tigers Acquisition Corporation, a Delaware corporation (“Purchaser”) and a direct wholly-owned subsidiary of Eli Lilly and Company, an Indiana corporation (“Lilly”), is offering to purchase all of the issued and outstanding shares of common stock, par value $0.0001 per share (the “Shares”), of Adverum Biotechnologies, Inc., a Delaware corporation (“Adverum”), in exchange for (i) $3.56 per Share, net to the stockholder in cash, without interest (the “Cash Consideration”) and less any applicable tax withholding, </w:t>
      </w:r>
      <w:r>
        <w:rPr>
          <w:rFonts w:ascii="Times New Roman" w:hAnsi="Times New Roman"/>
          <w:i/>
          <w:sz w:val="20"/>
        </w:rPr>
        <w:t>plus</w:t>
      </w:r>
      <w:r>
        <w:rPr>
          <w:rFonts w:ascii="Times New Roman" w:hAnsi="Times New Roman"/>
          <w:sz w:val="20"/>
        </w:rPr>
        <w:t xml:space="preserve"> (ii) one non-tradable CVR per Share, which represents the contractual right to receive up to two contingent cash payments of up to an aggregate of $8.91 per CVR, net to the stockholder in cash, without interest and less any applicable tax withholding, upon the achievement of certain specified milestones, all in accordance with the terms and subject to the conditions and other provisions of a contingent value rights agreement (the “CVR Agreement”) to be entered into by and among Lilly, Computershare, Inc., a Delaware corporation (“Computershare”), and its affiliate, Computershare Trust Company, N.A., a federally chartered trust company (“Computershare Trust” and, together with Computershare, the “Rights Agent”) (the Cash Consideration </w:t>
      </w:r>
      <w:r>
        <w:rPr>
          <w:rFonts w:ascii="Times New Roman" w:hAnsi="Times New Roman"/>
          <w:i/>
          <w:sz w:val="20"/>
        </w:rPr>
        <w:t>plus</w:t>
      </w:r>
      <w:r>
        <w:rPr>
          <w:rFonts w:ascii="Times New Roman" w:hAnsi="Times New Roman"/>
          <w:sz w:val="20"/>
        </w:rPr>
        <w:t xml:space="preserve"> one CVR, collectively, the “Offer Price”), upon the terms and subject to the conditions set forth in this Offer to Purchase and in the related Letter of Transmittal (which, together with this Offer to Purchase, as each may be amended or supplemented from time to time, collectively constitute the “Offer”). </w:t>
      </w:r>
    </w:p>
    <w:p>
      <w:pPr>
        <w:pStyle w:val="TextBody"/>
        <w:bidi w:val="0"/>
        <w:spacing w:before="240" w:after="0"/>
        <w:jc w:val="left"/>
        <w:rPr>
          <w:rFonts w:ascii="Times New Roman" w:hAnsi="Times New Roman"/>
          <w:sz w:val="20"/>
        </w:rPr>
      </w:pPr>
      <w:r>
        <w:rPr>
          <w:rFonts w:ascii="Times New Roman" w:hAnsi="Times New Roman"/>
          <w:sz w:val="20"/>
        </w:rPr>
        <w:t xml:space="preserve">The Offer is being made pursuant to an Agreement and Plan of Merger, dated October 24, 2025 (as it may be amended from time to time, the “Merger Agreement”), by and among Adverum, Lilly and Purchaser, pursuant to which, after consummation of the Offer and subject to the satisfaction or waiver of certain conditions, Purchaser will merge with and into Adverum pursuant to Section 251(h) of the General Corporation Law of the State of Delaware (the “DGCL”), upon the terms and subject to the conditions set forth in the Merger Agreement, with Adverum continuing as the surviving corporation (the “Surviving Corporation”) and becoming a direct wholly-owned subsidiary of Lilly (the “Merger”). At the effective time of the Merger (the “Effective Time”), each Share issued and outstanding immediately prior to the Effective Time (other than (i) Shares held in the treasury of Adverum or owned by Adverum, (ii) Shares owned by Lilly, Purchaser or any direct or indirect wholly-owned subsidiary of Lilly or Purchaser or (iii) Shares that are held by stockholders who are entitled to demand and properly exercised and perfected their respective demands for appraisal for such Shares in accordance with Section 262 of the DGCL (“Section 262”) (the “Dissenting Shares”) (see Section 17—“Appraisal Rights”)) will be converted into the right to receive the Offer Price, without interest, from Purchaser (the “Merger Consideration”), less any applicable tax withholding.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Under no circumstances will interest be paid on the purchase price for the Shares accepted for payment in the Offer, including by reason of any extension of the Offer or any delay in making payment for the Shares. </w:t>
      </w:r>
    </w:p>
    <w:p>
      <w:pPr>
        <w:pStyle w:val="TextBody"/>
        <w:bidi w:val="0"/>
        <w:spacing w:before="240" w:after="0"/>
        <w:jc w:val="left"/>
        <w:rPr>
          <w:rFonts w:ascii="Times New Roman" w:hAnsi="Times New Roman"/>
          <w:sz w:val="20"/>
        </w:rPr>
      </w:pPr>
      <w:r>
        <w:rPr>
          <w:rFonts w:ascii="Times New Roman" w:hAnsi="Times New Roman"/>
          <w:sz w:val="20"/>
        </w:rPr>
        <w:t xml:space="preserve">The obligation of Purchaser to accept for payment and pay for Shares validly tendered (and not validly withdrawn) pursuant to the Offer is subject to the satisfaction of, among other conditions the Minimum Tender Condition (as defined below in Section 15 — “Conditions of the Offer”). The Offer also is subject to other conditions as set forth in this Offer to Purchase. See Section 15 — “Conditions of the Offer.” There is no financing condition to the Offer or the Merger.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of Directors of Adverum (the “Adverum Board”) unanimously (i) determined that the Merger Agreement and the transactions contemplated thereby (the “Transactions”) are advisable, fair to, and in the best interests of, Adverum and the holders of the Shares, (ii) duly authorized and approved the execution and delivery of the Merger Agreement, the performance by Adverum of its covenants and other obligations thereunder, and the consummation of the Transactions upon the terms and subject to the conditions set forth therein, (iii) resolved that the Merger Agreement and the Transactions will be governed by and effected under Section 251(h) and other relevant provisions of the DGCL and (iv) resolved to recommend that Adverum stockholders accept the Offer and tender their Shares pursuant to the Offer. </w:t>
      </w:r>
    </w:p>
    <w:p>
      <w:pPr>
        <w:pStyle w:val="TextBody"/>
        <w:bidi w:val="0"/>
        <w:spacing w:before="240" w:after="0"/>
        <w:jc w:val="left"/>
        <w:rPr>
          <w:rFonts w:ascii="Times New Roman" w:hAnsi="Times New Roman"/>
          <w:sz w:val="20"/>
        </w:rPr>
      </w:pPr>
      <w:r>
        <w:rPr>
          <w:rFonts w:ascii="Times New Roman" w:hAnsi="Times New Roman"/>
          <w:sz w:val="20"/>
        </w:rPr>
        <w:t xml:space="preserve">A summary of the principal terms and conditions of the Offer appears in the “Summary Term Sheet” beginning on page i of this Offer to Purchase. You should read this entire document, the Letter of Transmittal and other documents to which this Offer to Purchase refers carefully before deciding whether to tender your Shares in the Offer.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OFFER NOR THE MERGER HAS BEEN APPROVED OR DISAPPROVED BY THE UNITED STATES SECURITIES AND EXCHANGE COMMISSION (THE “SEC”) OR ANY STATE SECURITIES COMMISSION, NOR HAS THE SEC OR ANY STATE SECURITIES COMMISSION PASSED UPON THE FAIRNESS OR MERITS OF THE OFFER OR THE MERGER OR UPON THE ACCURACY OR ADEQUACY OF THE INFORMATION CONTAINED IN THIS OFFER TO PURCHASE OR THE RELATED LETTER OF TRANSMITTAL. ANY REPRESENTATION TO THE CONTRARY IS UNLAWFUL AND A CRIMINAL OFFENSE. </w:t>
      </w:r>
    </w:p>
    <w:p>
      <w:pPr>
        <w:pStyle w:val="TextBody"/>
        <w:bidi w:val="0"/>
        <w:spacing w:before="240" w:after="0"/>
        <w:jc w:val="center"/>
        <w:rPr>
          <w:rFonts w:ascii="Times New Roman" w:hAnsi="Times New Roman"/>
          <w:i/>
          <w:sz w:val="20"/>
        </w:rPr>
      </w:pPr>
      <w:r>
        <w:rPr>
          <w:rFonts w:ascii="Times New Roman" w:hAnsi="Times New Roman"/>
          <w:i/>
          <w:sz w:val="20"/>
        </w:rPr>
        <w:t xml:space="preserve">The Information Agent for the Offer is: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023745" cy="7029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6"/>
                    <a:stretch>
                      <a:fillRect/>
                    </a:stretch>
                  </pic:blipFill>
                  <pic:spPr bwMode="auto">
                    <a:xfrm>
                      <a:off x="0" y="0"/>
                      <a:ext cx="2023745" cy="702945"/>
                    </a:xfrm>
                    <a:prstGeom prst="rect">
                      <a:avLst/>
                    </a:prstGeom>
                  </pic:spPr>
                </pic:pic>
              </a:graphicData>
            </a:graphic>
          </wp:inline>
        </w:drawing>
      </w:r>
      <w:r>
        <w:rPr/>
        <w:t xml:space="preserve"> </w:t>
      </w:r>
    </w:p>
    <w:p>
      <w:pPr>
        <w:pStyle w:val="TextBody"/>
        <w:bidi w:val="0"/>
        <w:spacing w:before="120" w:after="0"/>
        <w:jc w:val="center"/>
        <w:rPr>
          <w:rFonts w:ascii="Times New Roman" w:hAnsi="Times New Roman"/>
          <w:b/>
          <w:sz w:val="20"/>
        </w:rPr>
      </w:pPr>
      <w:r>
        <w:rPr>
          <w:rFonts w:ascii="Times New Roman" w:hAnsi="Times New Roman"/>
          <w:b/>
          <w:sz w:val="20"/>
        </w:rPr>
        <w:t xml:space="preserve">Georgeson LLC </w:t>
      </w:r>
    </w:p>
    <w:p>
      <w:pPr>
        <w:pStyle w:val="TextBody"/>
        <w:bidi w:val="0"/>
        <w:spacing w:before="0" w:after="0"/>
        <w:jc w:val="center"/>
        <w:rPr>
          <w:rFonts w:ascii="Times New Roman" w:hAnsi="Times New Roman"/>
          <w:b/>
          <w:sz w:val="20"/>
        </w:rPr>
      </w:pPr>
      <w:r>
        <w:rPr>
          <w:rFonts w:ascii="Times New Roman" w:hAnsi="Times New Roman"/>
          <w:b/>
          <w:sz w:val="20"/>
        </w:rPr>
        <w:t xml:space="preserve">51 West 52nd Street, 6th Floor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NY 10019 </w:t>
      </w:r>
    </w:p>
    <w:p>
      <w:pPr>
        <w:pStyle w:val="TextBody"/>
        <w:bidi w:val="0"/>
        <w:spacing w:before="0" w:after="0"/>
        <w:jc w:val="center"/>
        <w:rPr>
          <w:rFonts w:ascii="Times New Roman" w:hAnsi="Times New Roman"/>
          <w:b/>
          <w:sz w:val="20"/>
        </w:rPr>
      </w:pPr>
      <w:r>
        <w:rPr>
          <w:rFonts w:ascii="Times New Roman" w:hAnsi="Times New Roman"/>
          <w:b/>
          <w:sz w:val="20"/>
        </w:rPr>
        <w:t xml:space="preserve">Shareholders, Banks and Brokers </w:t>
      </w:r>
    </w:p>
    <w:p>
      <w:pPr>
        <w:pStyle w:val="TextBody"/>
        <w:bidi w:val="0"/>
        <w:spacing w:before="0" w:after="0"/>
        <w:jc w:val="center"/>
        <w:rPr>
          <w:rFonts w:ascii="Times New Roman" w:hAnsi="Times New Roman"/>
          <w:b/>
          <w:sz w:val="20"/>
        </w:rPr>
      </w:pPr>
      <w:r>
        <w:rPr>
          <w:rFonts w:ascii="Times New Roman" w:hAnsi="Times New Roman"/>
          <w:b/>
          <w:sz w:val="20"/>
        </w:rPr>
        <w:t xml:space="preserve">Toll Free: (888) 446-9207 </w:t>
      </w:r>
    </w:p>
    <w:p>
      <w:pPr>
        <w:pStyle w:val="TextBody"/>
        <w:bidi w:val="0"/>
        <w:spacing w:before="0" w:after="0"/>
        <w:jc w:val="center"/>
        <w:rPr>
          <w:rFonts w:ascii="Times New Roman" w:hAnsi="Times New Roman"/>
          <w:b/>
          <w:sz w:val="20"/>
        </w:rPr>
      </w:pPr>
      <w:r>
        <w:rPr>
          <w:rFonts w:ascii="Times New Roman" w:hAnsi="Times New Roman"/>
          <w:b/>
          <w:sz w:val="20"/>
        </w:rPr>
        <w:t xml:space="preserve">Outside the U.S. and Canada: (862) 243-7027 </w:t>
      </w:r>
    </w:p>
    <w:p>
      <w:pPr>
        <w:pStyle w:val="TextBody"/>
        <w:bidi w:val="0"/>
        <w:spacing w:before="0" w:after="0"/>
        <w:jc w:val="center"/>
        <w:rPr>
          <w:rFonts w:ascii="Times New Roman" w:hAnsi="Times New Roman"/>
          <w:b/>
          <w:sz w:val="20"/>
        </w:rPr>
      </w:pPr>
      <w:r>
        <w:rPr>
          <w:rFonts w:ascii="Times New Roman" w:hAnsi="Times New Roman"/>
          <w:b/>
          <w:sz w:val="20"/>
        </w:rPr>
        <w:t xml:space="preserve">Email: Adverumoffer@georgeson.com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IMPORTANT </w:t>
      </w:r>
    </w:p>
    <w:p>
      <w:pPr>
        <w:pStyle w:val="TextBody"/>
        <w:bidi w:val="0"/>
        <w:spacing w:before="240" w:after="0"/>
        <w:jc w:val="left"/>
        <w:rPr>
          <w:rFonts w:ascii="Times New Roman" w:hAnsi="Times New Roman"/>
          <w:sz w:val="20"/>
        </w:rPr>
      </w:pPr>
      <w:r>
        <w:rPr>
          <w:rFonts w:ascii="Times New Roman" w:hAnsi="Times New Roman"/>
          <w:sz w:val="20"/>
        </w:rPr>
        <w:t xml:space="preserve">If you wish to tender all or a portion of your Shares to Purchaser in the Offer, you must do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hold your Shares directly as the holder of record, complete and sign the Letter of Transmittal (or, in the case of a book-entry transfer, deliver an Agent’s Message (as defined below) in lieu of the Letter of Transmittal) that accompanies this Offer to Purchase in accordance with the instructions set forth therein and mail or deliver the Letter of Transmittal with any required signature guarantees and all other required documents to the Depositary (as defined below in the “Summary Term Sheet”). These materials must be delivered to the Depositary prior to the Expiration Time (as defined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hold your Shares through a broker, dealer, commercial bank, trust company or other nominee, request your broker, dealer, commercial bank, trust company or other nominee to tender your Shares through The Depository Trust Company’s (“DTC”) Automated Tender Offer Program (“ATOP”) prior to the Expiration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Questions or requests for assistance may be directed to Georgeson LLC, the information agent for the Offer (the “Information Agent”), at the address and telephone numbers set forth on the back cover of this Offer to Purchase. Additional copies of this Offer to Purchase, the related Letter of Transmittal and other materials related to the Offer may be obtained at no cost to stockholders from the Information Agent. Additionally, copies of this Offer to Purchase, the related Letter of Transmittal and any other materials related to the Offer are available free of charge at www.sec.gov. You may also contact your broker, dealer, commercial bank, trust company or other nominee for assistance. </w:t>
      </w:r>
    </w:p>
    <w:p>
      <w:pPr>
        <w:pStyle w:val="TextBody"/>
        <w:bidi w:val="0"/>
        <w:spacing w:before="240" w:after="0"/>
        <w:jc w:val="left"/>
        <w:rPr>
          <w:rFonts w:ascii="Times New Roman" w:hAnsi="Times New Roman"/>
          <w:b/>
          <w:sz w:val="20"/>
        </w:rPr>
      </w:pPr>
      <w:r>
        <w:rPr>
          <w:rFonts w:ascii="Times New Roman" w:hAnsi="Times New Roman"/>
          <w:b/>
          <w:sz w:val="20"/>
        </w:rPr>
        <w:t xml:space="preserve">This Offer to Purchase and the related Letter of Transmittal contain important information, and you should read both carefully and in their entirety before making a decision with respect to the Offer.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92"/>
        <w:gridCol w:w="128"/>
        <w:gridCol w:w="60"/>
        <w:gridCol w:w="262"/>
        <w:gridCol w:w="63"/>
      </w:tblGrid>
      <w:tr>
        <w:trPr/>
        <w:tc>
          <w:tcPr>
            <w:tcW w:w="9692"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92" w:type="dxa"/>
            <w:tcBorders/>
            <w:vAlign w:val="bottom"/>
          </w:tcPr>
          <w:p>
            <w:pPr>
              <w:pStyle w:val="TableContents"/>
              <w:bidi w:val="0"/>
              <w:spacing w:before="0" w:after="283"/>
              <w:jc w:val="left"/>
              <w:rPr/>
            </w:pPr>
            <w:hyperlink w:anchor="toc67752_1">
              <w:r>
                <w:rPr>
                  <w:rStyle w:val="InternetLink"/>
                </w:rPr>
                <w:t>SUMMARY TERM SHEET</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9692" w:type="dxa"/>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9692" w:type="dxa"/>
            <w:tcBorders/>
            <w:vAlign w:val="bottom"/>
          </w:tcPr>
          <w:p>
            <w:pPr>
              <w:pStyle w:val="TableContents"/>
              <w:bidi w:val="0"/>
              <w:spacing w:before="0" w:after="283"/>
              <w:jc w:val="left"/>
              <w:rPr/>
            </w:pPr>
            <w:hyperlink w:anchor="toc67752_2">
              <w:r>
                <w:rPr>
                  <w:rStyle w:val="InternetLink"/>
                </w:rPr>
                <w:t>INTRODUCTION</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9692" w:type="dxa"/>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9692" w:type="dxa"/>
            <w:tcBorders/>
            <w:vAlign w:val="bottom"/>
          </w:tcPr>
          <w:p>
            <w:pPr>
              <w:pStyle w:val="TableContents"/>
              <w:bidi w:val="0"/>
              <w:spacing w:before="0" w:after="283"/>
              <w:jc w:val="left"/>
              <w:rPr/>
            </w:pPr>
            <w:hyperlink w:anchor="toc67752_3">
              <w:r>
                <w:rPr>
                  <w:rStyle w:val="InternetLink"/>
                </w:rPr>
                <w:t>THE TENDER OFFER</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rHeight w:val="120" w:hRule="atLeast"/>
        </w:trPr>
        <w:tc>
          <w:tcPr>
            <w:tcW w:w="9692" w:type="dxa"/>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9692" w:type="dxa"/>
            <w:tcBorders/>
            <w:vAlign w:val="bottom"/>
          </w:tcPr>
          <w:p>
            <w:pPr>
              <w:pStyle w:val="TableContents"/>
              <w:bidi w:val="0"/>
              <w:spacing w:before="0" w:after="0"/>
              <w:jc w:val="left"/>
              <w:rPr/>
            </w:pPr>
            <w:hyperlink w:anchor="toc67752_4">
              <w:r>
                <w:rPr>
                  <w:rStyle w:val="InternetLink"/>
                  <w:rFonts w:ascii="Times New Roman" w:hAnsi="Times New Roman"/>
                  <w:sz w:val="20"/>
                </w:rPr>
                <w:t>1.  Terms of the Offer</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rHeight w:val="120" w:hRule="atLeast"/>
        </w:trPr>
        <w:tc>
          <w:tcPr>
            <w:tcW w:w="9692" w:type="dxa"/>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9692" w:type="dxa"/>
            <w:tcBorders/>
            <w:vAlign w:val="bottom"/>
          </w:tcPr>
          <w:p>
            <w:pPr>
              <w:pStyle w:val="TableContents"/>
              <w:bidi w:val="0"/>
              <w:spacing w:before="0" w:after="0"/>
              <w:jc w:val="left"/>
              <w:rPr/>
            </w:pPr>
            <w:hyperlink w:anchor="toc67752_5">
              <w:r>
                <w:rPr>
                  <w:rStyle w:val="InternetLink"/>
                  <w:rFonts w:ascii="Times New Roman" w:hAnsi="Times New Roman"/>
                  <w:sz w:val="20"/>
                </w:rPr>
                <w:t>2.  Acceptance for Payment and Payment for Shares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rHeight w:val="120" w:hRule="atLeast"/>
        </w:trPr>
        <w:tc>
          <w:tcPr>
            <w:tcW w:w="9692" w:type="dxa"/>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9692" w:type="dxa"/>
            <w:tcBorders/>
            <w:vAlign w:val="bottom"/>
          </w:tcPr>
          <w:p>
            <w:pPr>
              <w:pStyle w:val="TableContents"/>
              <w:bidi w:val="0"/>
              <w:spacing w:before="0" w:after="0"/>
              <w:jc w:val="left"/>
              <w:rPr/>
            </w:pPr>
            <w:hyperlink w:anchor="toc67752_6">
              <w:r>
                <w:rPr>
                  <w:rStyle w:val="InternetLink"/>
                  <w:rFonts w:ascii="Times New Roman" w:hAnsi="Times New Roman"/>
                  <w:sz w:val="20"/>
                </w:rPr>
                <w:t>3.  Procedures for Accepting the Offer and Tendering Shares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rHeight w:val="120" w:hRule="atLeast"/>
        </w:trPr>
        <w:tc>
          <w:tcPr>
            <w:tcW w:w="9692" w:type="dxa"/>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9692" w:type="dxa"/>
            <w:tcBorders/>
            <w:vAlign w:val="bottom"/>
          </w:tcPr>
          <w:p>
            <w:pPr>
              <w:pStyle w:val="TableContents"/>
              <w:bidi w:val="0"/>
              <w:spacing w:before="0" w:after="0"/>
              <w:jc w:val="left"/>
              <w:rPr/>
            </w:pPr>
            <w:hyperlink w:anchor="toc67752_7">
              <w:r>
                <w:rPr>
                  <w:rStyle w:val="InternetLink"/>
                  <w:rFonts w:ascii="Times New Roman" w:hAnsi="Times New Roman"/>
                  <w:sz w:val="20"/>
                </w:rPr>
                <w:t>4.  Withdrawal Rights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rHeight w:val="120" w:hRule="atLeast"/>
        </w:trPr>
        <w:tc>
          <w:tcPr>
            <w:tcW w:w="9692" w:type="dxa"/>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9692" w:type="dxa"/>
            <w:tcBorders/>
            <w:vAlign w:val="bottom"/>
          </w:tcPr>
          <w:p>
            <w:pPr>
              <w:pStyle w:val="TableContents"/>
              <w:bidi w:val="0"/>
              <w:spacing w:before="0" w:after="0"/>
              <w:jc w:val="left"/>
              <w:rPr/>
            </w:pPr>
            <w:hyperlink w:anchor="toc67752_8">
              <w:r>
                <w:rPr>
                  <w:rStyle w:val="InternetLink"/>
                  <w:rFonts w:ascii="Times New Roman" w:hAnsi="Times New Roman"/>
                  <w:sz w:val="20"/>
                </w:rPr>
                <w:t>5.  Certain Material U.S. Federal Income Tax Consequences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120" w:hRule="atLeast"/>
        </w:trPr>
        <w:tc>
          <w:tcPr>
            <w:tcW w:w="9692" w:type="dxa"/>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9692" w:type="dxa"/>
            <w:tcBorders/>
            <w:vAlign w:val="bottom"/>
          </w:tcPr>
          <w:p>
            <w:pPr>
              <w:pStyle w:val="TableContents"/>
              <w:bidi w:val="0"/>
              <w:spacing w:before="0" w:after="0"/>
              <w:jc w:val="left"/>
              <w:rPr/>
            </w:pPr>
            <w:hyperlink w:anchor="toc67752_9">
              <w:r>
                <w:rPr>
                  <w:rStyle w:val="InternetLink"/>
                  <w:rFonts w:ascii="Times New Roman" w:hAnsi="Times New Roman"/>
                  <w:sz w:val="20"/>
                </w:rPr>
                <w:t>6.  Price Range of Shares; Dividends on the Shares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9692" w:type="dxa"/>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9692" w:type="dxa"/>
            <w:tcBorders/>
            <w:vAlign w:val="bottom"/>
          </w:tcPr>
          <w:p>
            <w:pPr>
              <w:pStyle w:val="TableContents"/>
              <w:bidi w:val="0"/>
              <w:spacing w:before="0" w:after="0"/>
              <w:jc w:val="left"/>
              <w:rPr/>
            </w:pPr>
            <w:hyperlink w:anchor="toc67752_10">
              <w:r>
                <w:rPr>
                  <w:rStyle w:val="InternetLink"/>
                  <w:rFonts w:ascii="Times New Roman" w:hAnsi="Times New Roman"/>
                  <w:sz w:val="20"/>
                </w:rPr>
                <w:t>7.  Certain Information Concerning Adverum</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9692" w:type="dxa"/>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9692" w:type="dxa"/>
            <w:tcBorders/>
            <w:vAlign w:val="bottom"/>
          </w:tcPr>
          <w:p>
            <w:pPr>
              <w:pStyle w:val="TableContents"/>
              <w:bidi w:val="0"/>
              <w:spacing w:before="0" w:after="0"/>
              <w:jc w:val="left"/>
              <w:rPr/>
            </w:pPr>
            <w:hyperlink w:anchor="toc67752_11">
              <w:r>
                <w:rPr>
                  <w:rStyle w:val="InternetLink"/>
                  <w:rFonts w:ascii="Times New Roman" w:hAnsi="Times New Roman"/>
                  <w:sz w:val="20"/>
                </w:rPr>
                <w:t>8.  Certain Information Concerning Lilly and Purchaser</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120" w:hRule="atLeast"/>
        </w:trPr>
        <w:tc>
          <w:tcPr>
            <w:tcW w:w="9692" w:type="dxa"/>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9692" w:type="dxa"/>
            <w:tcBorders/>
            <w:vAlign w:val="bottom"/>
          </w:tcPr>
          <w:p>
            <w:pPr>
              <w:pStyle w:val="TableContents"/>
              <w:bidi w:val="0"/>
              <w:spacing w:before="0" w:after="0"/>
              <w:jc w:val="left"/>
              <w:rPr/>
            </w:pPr>
            <w:hyperlink w:anchor="toc67752_12">
              <w:r>
                <w:rPr>
                  <w:rStyle w:val="InternetLink"/>
                  <w:rFonts w:ascii="Times New Roman" w:hAnsi="Times New Roman"/>
                  <w:sz w:val="20"/>
                </w:rPr>
                <w:t>9.  Source and Amount of Funds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rHeight w:val="120" w:hRule="atLeast"/>
        </w:trPr>
        <w:tc>
          <w:tcPr>
            <w:tcW w:w="9692" w:type="dxa"/>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9692" w:type="dxa"/>
            <w:tcBorders/>
            <w:vAlign w:val="bottom"/>
          </w:tcPr>
          <w:p>
            <w:pPr>
              <w:pStyle w:val="TableContents"/>
              <w:bidi w:val="0"/>
              <w:spacing w:before="0" w:after="0"/>
              <w:jc w:val="left"/>
              <w:rPr/>
            </w:pPr>
            <w:hyperlink w:anchor="toc67752_13">
              <w:r>
                <w:rPr>
                  <w:rStyle w:val="InternetLink"/>
                  <w:rFonts w:ascii="Times New Roman" w:hAnsi="Times New Roman"/>
                  <w:sz w:val="20"/>
                </w:rPr>
                <w:t>10.  Background of the Offer; Past Contacts or Negotiations with Adverum</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rHeight w:val="120" w:hRule="atLeast"/>
        </w:trPr>
        <w:tc>
          <w:tcPr>
            <w:tcW w:w="9692" w:type="dxa"/>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9692" w:type="dxa"/>
            <w:tcBorders/>
            <w:vAlign w:val="bottom"/>
          </w:tcPr>
          <w:p>
            <w:pPr>
              <w:pStyle w:val="TableContents"/>
              <w:bidi w:val="0"/>
              <w:spacing w:before="0" w:after="0"/>
              <w:jc w:val="left"/>
              <w:rPr/>
            </w:pPr>
            <w:hyperlink w:anchor="toc67752_14">
              <w:r>
                <w:rPr>
                  <w:rStyle w:val="InternetLink"/>
                  <w:rFonts w:ascii="Times New Roman" w:hAnsi="Times New Roman"/>
                  <w:sz w:val="20"/>
                </w:rPr>
                <w:t>11.  The Merger Agreement; Other Agreements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rHeight w:val="120" w:hRule="atLeast"/>
        </w:trPr>
        <w:tc>
          <w:tcPr>
            <w:tcW w:w="9692" w:type="dxa"/>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9692" w:type="dxa"/>
            <w:tcBorders/>
            <w:vAlign w:val="bottom"/>
          </w:tcPr>
          <w:p>
            <w:pPr>
              <w:pStyle w:val="TableContents"/>
              <w:bidi w:val="0"/>
              <w:spacing w:before="0" w:after="0"/>
              <w:jc w:val="left"/>
              <w:rPr/>
            </w:pPr>
            <w:hyperlink w:anchor="toc67752_15">
              <w:r>
                <w:rPr>
                  <w:rStyle w:val="InternetLink"/>
                  <w:rFonts w:ascii="Times New Roman" w:hAnsi="Times New Roman"/>
                  <w:sz w:val="20"/>
                </w:rPr>
                <w:t>12.  Purpose of the Offer; Plans for Adverum</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rHeight w:val="120" w:hRule="atLeast"/>
        </w:trPr>
        <w:tc>
          <w:tcPr>
            <w:tcW w:w="9692" w:type="dxa"/>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9692" w:type="dxa"/>
            <w:tcBorders/>
            <w:vAlign w:val="bottom"/>
          </w:tcPr>
          <w:p>
            <w:pPr>
              <w:pStyle w:val="TableContents"/>
              <w:bidi w:val="0"/>
              <w:spacing w:before="0" w:after="0"/>
              <w:jc w:val="left"/>
              <w:rPr/>
            </w:pPr>
            <w:hyperlink w:anchor="toc67752_16">
              <w:r>
                <w:rPr>
                  <w:rStyle w:val="InternetLink"/>
                  <w:rFonts w:ascii="Times New Roman" w:hAnsi="Times New Roman"/>
                  <w:sz w:val="20"/>
                </w:rPr>
                <w:t>13.  Certain Effects of the Offer</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rHeight w:val="120" w:hRule="atLeast"/>
        </w:trPr>
        <w:tc>
          <w:tcPr>
            <w:tcW w:w="9692" w:type="dxa"/>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9692" w:type="dxa"/>
            <w:tcBorders/>
            <w:vAlign w:val="bottom"/>
          </w:tcPr>
          <w:p>
            <w:pPr>
              <w:pStyle w:val="TableContents"/>
              <w:bidi w:val="0"/>
              <w:spacing w:before="0" w:after="0"/>
              <w:jc w:val="left"/>
              <w:rPr/>
            </w:pPr>
            <w:hyperlink w:anchor="toc67752_17">
              <w:r>
                <w:rPr>
                  <w:rStyle w:val="InternetLink"/>
                  <w:rFonts w:ascii="Times New Roman" w:hAnsi="Times New Roman"/>
                  <w:sz w:val="20"/>
                </w:rPr>
                <w:t>14.  Dividends and Distributions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rHeight w:val="120" w:hRule="atLeast"/>
        </w:trPr>
        <w:tc>
          <w:tcPr>
            <w:tcW w:w="9692" w:type="dxa"/>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9692" w:type="dxa"/>
            <w:tcBorders/>
            <w:vAlign w:val="bottom"/>
          </w:tcPr>
          <w:p>
            <w:pPr>
              <w:pStyle w:val="TableContents"/>
              <w:bidi w:val="0"/>
              <w:spacing w:before="0" w:after="0"/>
              <w:jc w:val="left"/>
              <w:rPr/>
            </w:pPr>
            <w:hyperlink w:anchor="toc67752_18">
              <w:r>
                <w:rPr>
                  <w:rStyle w:val="InternetLink"/>
                  <w:rFonts w:ascii="Times New Roman" w:hAnsi="Times New Roman"/>
                  <w:sz w:val="20"/>
                </w:rPr>
                <w:t>15.  Conditions of the Offer</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rHeight w:val="120" w:hRule="atLeast"/>
        </w:trPr>
        <w:tc>
          <w:tcPr>
            <w:tcW w:w="9692" w:type="dxa"/>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9692" w:type="dxa"/>
            <w:tcBorders/>
            <w:vAlign w:val="bottom"/>
          </w:tcPr>
          <w:p>
            <w:pPr>
              <w:pStyle w:val="TableContents"/>
              <w:bidi w:val="0"/>
              <w:spacing w:before="0" w:after="0"/>
              <w:jc w:val="left"/>
              <w:rPr/>
            </w:pPr>
            <w:hyperlink w:anchor="toc67752_19">
              <w:r>
                <w:rPr>
                  <w:rStyle w:val="InternetLink"/>
                  <w:rFonts w:ascii="Times New Roman" w:hAnsi="Times New Roman"/>
                  <w:sz w:val="20"/>
                </w:rPr>
                <w:t>16.  Certain Legal Matters; Regulatory Approvals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rHeight w:val="120" w:hRule="atLeast"/>
        </w:trPr>
        <w:tc>
          <w:tcPr>
            <w:tcW w:w="9692" w:type="dxa"/>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9692" w:type="dxa"/>
            <w:tcBorders/>
            <w:vAlign w:val="bottom"/>
          </w:tcPr>
          <w:p>
            <w:pPr>
              <w:pStyle w:val="TableContents"/>
              <w:bidi w:val="0"/>
              <w:spacing w:before="0" w:after="0"/>
              <w:jc w:val="left"/>
              <w:rPr/>
            </w:pPr>
            <w:hyperlink w:anchor="toc67752_20">
              <w:r>
                <w:rPr>
                  <w:rStyle w:val="InternetLink"/>
                  <w:rFonts w:ascii="Times New Roman" w:hAnsi="Times New Roman"/>
                  <w:sz w:val="20"/>
                </w:rPr>
                <w:t>17.  Appraisal Rights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rHeight w:val="120" w:hRule="atLeast"/>
        </w:trPr>
        <w:tc>
          <w:tcPr>
            <w:tcW w:w="9692" w:type="dxa"/>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9692" w:type="dxa"/>
            <w:tcBorders/>
            <w:vAlign w:val="bottom"/>
          </w:tcPr>
          <w:p>
            <w:pPr>
              <w:pStyle w:val="TableContents"/>
              <w:bidi w:val="0"/>
              <w:spacing w:before="0" w:after="0"/>
              <w:jc w:val="left"/>
              <w:rPr/>
            </w:pPr>
            <w:hyperlink w:anchor="toc67752_21">
              <w:r>
                <w:rPr>
                  <w:rStyle w:val="InternetLink"/>
                  <w:rFonts w:ascii="Times New Roman" w:hAnsi="Times New Roman"/>
                  <w:sz w:val="20"/>
                </w:rPr>
                <w:t>18.  Fees and Expenses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rHeight w:val="120" w:hRule="atLeast"/>
        </w:trPr>
        <w:tc>
          <w:tcPr>
            <w:tcW w:w="9692" w:type="dxa"/>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9692" w:type="dxa"/>
            <w:tcBorders/>
            <w:vAlign w:val="bottom"/>
          </w:tcPr>
          <w:p>
            <w:pPr>
              <w:pStyle w:val="TableContents"/>
              <w:bidi w:val="0"/>
              <w:spacing w:before="0" w:after="0"/>
              <w:jc w:val="left"/>
              <w:rPr/>
            </w:pPr>
            <w:hyperlink w:anchor="toc67752_22">
              <w:r>
                <w:rPr>
                  <w:rStyle w:val="InternetLink"/>
                  <w:rFonts w:ascii="Times New Roman" w:hAnsi="Times New Roman"/>
                  <w:sz w:val="20"/>
                </w:rPr>
                <w:t>19.  Miscellaneous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rHeight w:val="120" w:hRule="atLeast"/>
        </w:trPr>
        <w:tc>
          <w:tcPr>
            <w:tcW w:w="9692" w:type="dxa"/>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9692" w:type="dxa"/>
            <w:tcBorders/>
            <w:vAlign w:val="bottom"/>
          </w:tcPr>
          <w:p>
            <w:pPr>
              <w:pStyle w:val="TableContents"/>
              <w:bidi w:val="0"/>
              <w:spacing w:before="0" w:after="283"/>
              <w:jc w:val="left"/>
              <w:rPr/>
            </w:pPr>
            <w:hyperlink w:anchor="toc67752_23">
              <w:r>
                <w:rPr>
                  <w:rStyle w:val="InternetLink"/>
                </w:rPr>
                <w:t>SCHEDULE I DIRECTORS AND EXECUTIVE OFFICERS OF PURCHASER AND LILLY</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I-1</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bookmarkStart w:id="4" w:name="toc67752_1"/>
      <w:bookmarkEnd w:id="4"/>
      <w:r>
        <w:rPr>
          <w:rFonts w:ascii="Times New Roman" w:hAnsi="Times New Roman"/>
          <w:b/>
          <w:sz w:val="20"/>
        </w:rPr>
        <w:t xml:space="preserve">SUMMARY TERM SHEET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contained in this Summary Term Sheet is a summary only and is not meant to be a substitute for the more detailed description and information contained in the remainder of this Offer to Purchase, the related Letter of Transmittal and other materials related to the Offer. You are urged to read carefully this Offer to Purchase, the related Letter of Transmittal and other materials related to the Offer in their entirety. This Summary Term Sheet includes cross-references to other sections of this Offer to Purchase where you will find more complete descriptions of the topics mentioned below. The information concerning Adverum contained in this Summary Term Sheet and elsewhere in this Offer to Purchase has been provided by Adverum to Lilly and Purchaser or has been taken from, or is based upon, publicly available documents or records of Adverum on file with the SEC or other public sources at the time of the Offer. Lilly and Purchaser have not independently verified the accuracy and completeness of such information.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44"/>
        <w:gridCol w:w="204"/>
        <w:gridCol w:w="7757"/>
      </w:tblGrid>
      <w:tr>
        <w:trPr/>
        <w:tc>
          <w:tcPr>
            <w:tcW w:w="224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7757" w:type="dxa"/>
            <w:tcBorders/>
            <w:vAlign w:val="center"/>
          </w:tcPr>
          <w:p>
            <w:pPr>
              <w:pStyle w:val="TableContents"/>
              <w:bidi w:val="0"/>
              <w:spacing w:before="0" w:after="283"/>
              <w:jc w:val="left"/>
              <w:rPr>
                <w:sz w:val="4"/>
                <w:szCs w:val="4"/>
              </w:rPr>
            </w:pPr>
            <w:r>
              <w:rPr>
                <w:sz w:val="4"/>
                <w:szCs w:val="4"/>
              </w:rPr>
            </w:r>
          </w:p>
        </w:tc>
      </w:tr>
      <w:tr>
        <w:trPr/>
        <w:tc>
          <w:tcPr>
            <w:tcW w:w="2244" w:type="dxa"/>
            <w:tcBorders/>
          </w:tcPr>
          <w:p>
            <w:pPr>
              <w:pStyle w:val="TableContents"/>
              <w:bidi w:val="0"/>
              <w:spacing w:before="0" w:after="283"/>
              <w:jc w:val="left"/>
              <w:rPr>
                <w:b/>
              </w:rPr>
            </w:pPr>
            <w:r>
              <w:rPr>
                <w:b/>
              </w:rPr>
              <w:t>Securities Sought</w:t>
            </w:r>
          </w:p>
        </w:tc>
        <w:tc>
          <w:tcPr>
            <w:tcW w:w="204" w:type="dxa"/>
            <w:tcBorders/>
            <w:vAlign w:val="bottom"/>
          </w:tcPr>
          <w:p>
            <w:pPr>
              <w:pStyle w:val="TableContents"/>
              <w:bidi w:val="0"/>
              <w:spacing w:before="0" w:after="283"/>
              <w:jc w:val="left"/>
              <w:rPr/>
            </w:pPr>
            <w:r>
              <w:rPr/>
              <w:t>  </w:t>
            </w:r>
          </w:p>
        </w:tc>
        <w:tc>
          <w:tcPr>
            <w:tcW w:w="7757" w:type="dxa"/>
            <w:tcBorders/>
          </w:tcPr>
          <w:p>
            <w:pPr>
              <w:pStyle w:val="TableContents"/>
              <w:bidi w:val="0"/>
              <w:spacing w:before="0" w:after="283"/>
              <w:jc w:val="left"/>
              <w:rPr/>
            </w:pPr>
            <w:r>
              <w:rPr/>
              <w:t>Subject to certain conditions, including the satisfaction of the Minimum Tender Condition (as described in Section 15 — “Conditions of the Offer”), all of the issued and outstanding shares of common stock, par value $0.0001 per share, of Adverum.</w:t>
            </w:r>
          </w:p>
        </w:tc>
      </w:tr>
      <w:tr>
        <w:trPr>
          <w:trHeight w:val="120" w:hRule="atLeast"/>
        </w:trPr>
        <w:tc>
          <w:tcPr>
            <w:tcW w:w="2244" w:type="dxa"/>
            <w:tcBorders/>
            <w:vAlign w:val="center"/>
          </w:tcPr>
          <w:p>
            <w:pPr>
              <w:pStyle w:val="TableContents"/>
              <w:bidi w:val="0"/>
              <w:spacing w:before="0" w:after="283"/>
              <w:jc w:val="left"/>
              <w:rPr>
                <w:sz w:val="4"/>
                <w:szCs w:val="4"/>
              </w:rPr>
            </w:pPr>
            <w:r>
              <w:rPr>
                <w:sz w:val="4"/>
                <w:szCs w:val="4"/>
              </w:rPr>
            </w:r>
          </w:p>
        </w:tc>
        <w:tc>
          <w:tcPr>
            <w:tcW w:w="7961" w:type="dxa"/>
            <w:gridSpan w:val="2"/>
            <w:tcBorders/>
            <w:vAlign w:val="center"/>
          </w:tcPr>
          <w:p>
            <w:pPr>
              <w:pStyle w:val="TableContents"/>
              <w:bidi w:val="0"/>
              <w:spacing w:before="0" w:after="283"/>
              <w:jc w:val="left"/>
              <w:rPr>
                <w:sz w:val="4"/>
                <w:szCs w:val="4"/>
              </w:rPr>
            </w:pPr>
            <w:r>
              <w:rPr>
                <w:sz w:val="4"/>
                <w:szCs w:val="4"/>
              </w:rPr>
            </w:r>
          </w:p>
        </w:tc>
      </w:tr>
      <w:tr>
        <w:trPr/>
        <w:tc>
          <w:tcPr>
            <w:tcW w:w="2244" w:type="dxa"/>
            <w:tcBorders/>
          </w:tcPr>
          <w:p>
            <w:pPr>
              <w:pStyle w:val="TableContents"/>
              <w:bidi w:val="0"/>
              <w:spacing w:before="0" w:after="283"/>
              <w:jc w:val="left"/>
              <w:rPr>
                <w:b/>
              </w:rPr>
            </w:pPr>
            <w:r>
              <w:rPr>
                <w:b/>
              </w:rPr>
              <w:t>Price Offered Per Share</w:t>
            </w:r>
          </w:p>
        </w:tc>
        <w:tc>
          <w:tcPr>
            <w:tcW w:w="204" w:type="dxa"/>
            <w:tcBorders/>
            <w:vAlign w:val="bottom"/>
          </w:tcPr>
          <w:p>
            <w:pPr>
              <w:pStyle w:val="TableContents"/>
              <w:bidi w:val="0"/>
              <w:spacing w:before="0" w:after="283"/>
              <w:jc w:val="left"/>
              <w:rPr/>
            </w:pPr>
            <w:r>
              <w:rPr/>
              <w:t>  </w:t>
            </w:r>
          </w:p>
        </w:tc>
        <w:tc>
          <w:tcPr>
            <w:tcW w:w="7757" w:type="dxa"/>
            <w:tcBorders/>
          </w:tcPr>
          <w:p>
            <w:pPr>
              <w:pStyle w:val="TableContents"/>
              <w:bidi w:val="0"/>
              <w:spacing w:before="0" w:after="283"/>
              <w:jc w:val="left"/>
              <w:rPr/>
            </w:pPr>
            <w:r>
              <w:rPr/>
              <w:t xml:space="preserve">Upon the terms and subject to the conditions set forth in this Offer to Purchase and in the related Letter of Transmittal: (i) $3.56, net to the stockholder in cash, without interest and less any applicable tax withholding, </w:t>
            </w:r>
            <w:r>
              <w:rPr>
                <w:i/>
              </w:rPr>
              <w:t>plus</w:t>
            </w:r>
            <w:r>
              <w:rPr/>
              <w:t xml:space="preserve"> (ii) one non-tradable CVR per Share, which represents the contractual right to receive up to two contingent cash payments of up to an aggregate of $8.91 per CVR, net to the stockholder in cash, without interest and less any applicable tax withholding, upon the achievement of certain specified milestones, all in accordance with the terms and subject to the conditions and other provisions set forth in the CVR Agreement.</w:t>
            </w:r>
          </w:p>
        </w:tc>
      </w:tr>
      <w:tr>
        <w:trPr>
          <w:trHeight w:val="120" w:hRule="atLeast"/>
        </w:trPr>
        <w:tc>
          <w:tcPr>
            <w:tcW w:w="2244" w:type="dxa"/>
            <w:tcBorders/>
            <w:vAlign w:val="center"/>
          </w:tcPr>
          <w:p>
            <w:pPr>
              <w:pStyle w:val="TableContents"/>
              <w:bidi w:val="0"/>
              <w:spacing w:before="0" w:after="283"/>
              <w:jc w:val="left"/>
              <w:rPr>
                <w:sz w:val="4"/>
                <w:szCs w:val="4"/>
              </w:rPr>
            </w:pPr>
            <w:r>
              <w:rPr>
                <w:sz w:val="4"/>
                <w:szCs w:val="4"/>
              </w:rPr>
            </w:r>
          </w:p>
        </w:tc>
        <w:tc>
          <w:tcPr>
            <w:tcW w:w="7961" w:type="dxa"/>
            <w:gridSpan w:val="2"/>
            <w:tcBorders/>
            <w:vAlign w:val="center"/>
          </w:tcPr>
          <w:p>
            <w:pPr>
              <w:pStyle w:val="TableContents"/>
              <w:bidi w:val="0"/>
              <w:spacing w:before="0" w:after="283"/>
              <w:jc w:val="left"/>
              <w:rPr>
                <w:sz w:val="4"/>
                <w:szCs w:val="4"/>
              </w:rPr>
            </w:pPr>
            <w:r>
              <w:rPr>
                <w:sz w:val="4"/>
                <w:szCs w:val="4"/>
              </w:rPr>
            </w:r>
          </w:p>
        </w:tc>
      </w:tr>
      <w:tr>
        <w:trPr/>
        <w:tc>
          <w:tcPr>
            <w:tcW w:w="2244" w:type="dxa"/>
            <w:tcBorders/>
          </w:tcPr>
          <w:p>
            <w:pPr>
              <w:pStyle w:val="TableContents"/>
              <w:bidi w:val="0"/>
              <w:spacing w:before="0" w:after="283"/>
              <w:jc w:val="left"/>
              <w:rPr>
                <w:b/>
              </w:rPr>
            </w:pPr>
            <w:r>
              <w:rPr>
                <w:b/>
              </w:rPr>
              <w:t>Scheduled Expiration of Offer</w:t>
            </w:r>
          </w:p>
        </w:tc>
        <w:tc>
          <w:tcPr>
            <w:tcW w:w="204" w:type="dxa"/>
            <w:tcBorders/>
            <w:vAlign w:val="bottom"/>
          </w:tcPr>
          <w:p>
            <w:pPr>
              <w:pStyle w:val="TableContents"/>
              <w:bidi w:val="0"/>
              <w:spacing w:before="0" w:after="283"/>
              <w:jc w:val="left"/>
              <w:rPr/>
            </w:pPr>
            <w:r>
              <w:rPr/>
              <w:t>  </w:t>
            </w:r>
          </w:p>
        </w:tc>
        <w:tc>
          <w:tcPr>
            <w:tcW w:w="7757" w:type="dxa"/>
            <w:tcBorders/>
          </w:tcPr>
          <w:p>
            <w:pPr>
              <w:pStyle w:val="TableContents"/>
              <w:bidi w:val="0"/>
              <w:spacing w:before="0" w:after="283"/>
              <w:jc w:val="left"/>
              <w:rPr/>
            </w:pPr>
            <w:r>
              <w:rPr/>
              <w:t>One minute past 11:59 p.m., Eastern Time, on December 8, 2025, unless the Offer is otherwise extended or earlier terminated.</w:t>
            </w:r>
          </w:p>
        </w:tc>
      </w:tr>
      <w:tr>
        <w:trPr>
          <w:trHeight w:val="120" w:hRule="atLeast"/>
        </w:trPr>
        <w:tc>
          <w:tcPr>
            <w:tcW w:w="2244" w:type="dxa"/>
            <w:tcBorders/>
            <w:vAlign w:val="center"/>
          </w:tcPr>
          <w:p>
            <w:pPr>
              <w:pStyle w:val="TableContents"/>
              <w:bidi w:val="0"/>
              <w:spacing w:before="0" w:after="283"/>
              <w:jc w:val="left"/>
              <w:rPr>
                <w:sz w:val="4"/>
                <w:szCs w:val="4"/>
              </w:rPr>
            </w:pPr>
            <w:r>
              <w:rPr>
                <w:sz w:val="4"/>
                <w:szCs w:val="4"/>
              </w:rPr>
            </w:r>
          </w:p>
        </w:tc>
        <w:tc>
          <w:tcPr>
            <w:tcW w:w="7961" w:type="dxa"/>
            <w:gridSpan w:val="2"/>
            <w:tcBorders/>
            <w:vAlign w:val="center"/>
          </w:tcPr>
          <w:p>
            <w:pPr>
              <w:pStyle w:val="TableContents"/>
              <w:bidi w:val="0"/>
              <w:spacing w:before="0" w:after="283"/>
              <w:jc w:val="left"/>
              <w:rPr>
                <w:sz w:val="4"/>
                <w:szCs w:val="4"/>
              </w:rPr>
            </w:pPr>
            <w:r>
              <w:rPr>
                <w:sz w:val="4"/>
                <w:szCs w:val="4"/>
              </w:rPr>
            </w:r>
          </w:p>
        </w:tc>
      </w:tr>
      <w:tr>
        <w:trPr/>
        <w:tc>
          <w:tcPr>
            <w:tcW w:w="2244" w:type="dxa"/>
            <w:tcBorders/>
          </w:tcPr>
          <w:p>
            <w:pPr>
              <w:pStyle w:val="TableContents"/>
              <w:bidi w:val="0"/>
              <w:spacing w:before="0" w:after="283"/>
              <w:jc w:val="left"/>
              <w:rPr>
                <w:b/>
              </w:rPr>
            </w:pPr>
            <w:r>
              <w:rPr>
                <w:b/>
              </w:rPr>
              <w:t>Purchaser</w:t>
            </w:r>
          </w:p>
        </w:tc>
        <w:tc>
          <w:tcPr>
            <w:tcW w:w="204" w:type="dxa"/>
            <w:tcBorders/>
            <w:vAlign w:val="bottom"/>
          </w:tcPr>
          <w:p>
            <w:pPr>
              <w:pStyle w:val="TableContents"/>
              <w:bidi w:val="0"/>
              <w:spacing w:before="0" w:after="283"/>
              <w:jc w:val="left"/>
              <w:rPr/>
            </w:pPr>
            <w:r>
              <w:rPr/>
              <w:t>  </w:t>
            </w:r>
          </w:p>
        </w:tc>
        <w:tc>
          <w:tcPr>
            <w:tcW w:w="7757" w:type="dxa"/>
            <w:tcBorders/>
          </w:tcPr>
          <w:p>
            <w:pPr>
              <w:pStyle w:val="TableContents"/>
              <w:bidi w:val="0"/>
              <w:spacing w:before="0" w:after="283"/>
              <w:jc w:val="left"/>
              <w:rPr/>
            </w:pPr>
            <w:r>
              <w:rPr/>
              <w:t>Flying Tigers Acquisition Corporation, a Delaware corporation and a direct wholly-owned subsidiary of Eli Lilly and Company.</w:t>
            </w:r>
          </w:p>
        </w:tc>
      </w:tr>
      <w:tr>
        <w:trPr>
          <w:trHeight w:val="120" w:hRule="atLeast"/>
        </w:trPr>
        <w:tc>
          <w:tcPr>
            <w:tcW w:w="2244" w:type="dxa"/>
            <w:tcBorders/>
            <w:vAlign w:val="center"/>
          </w:tcPr>
          <w:p>
            <w:pPr>
              <w:pStyle w:val="TableContents"/>
              <w:bidi w:val="0"/>
              <w:spacing w:before="0" w:after="283"/>
              <w:jc w:val="left"/>
              <w:rPr>
                <w:sz w:val="4"/>
                <w:szCs w:val="4"/>
              </w:rPr>
            </w:pPr>
            <w:r>
              <w:rPr>
                <w:sz w:val="4"/>
                <w:szCs w:val="4"/>
              </w:rPr>
            </w:r>
          </w:p>
        </w:tc>
        <w:tc>
          <w:tcPr>
            <w:tcW w:w="7961" w:type="dxa"/>
            <w:gridSpan w:val="2"/>
            <w:tcBorders/>
            <w:vAlign w:val="center"/>
          </w:tcPr>
          <w:p>
            <w:pPr>
              <w:pStyle w:val="TableContents"/>
              <w:bidi w:val="0"/>
              <w:spacing w:before="0" w:after="283"/>
              <w:jc w:val="left"/>
              <w:rPr>
                <w:sz w:val="4"/>
                <w:szCs w:val="4"/>
              </w:rPr>
            </w:pPr>
            <w:r>
              <w:rPr>
                <w:sz w:val="4"/>
                <w:szCs w:val="4"/>
              </w:rPr>
            </w:r>
          </w:p>
        </w:tc>
      </w:tr>
      <w:tr>
        <w:trPr/>
        <w:tc>
          <w:tcPr>
            <w:tcW w:w="2244" w:type="dxa"/>
            <w:tcBorders/>
          </w:tcPr>
          <w:p>
            <w:pPr>
              <w:pStyle w:val="TableContents"/>
              <w:bidi w:val="0"/>
              <w:spacing w:before="0" w:after="283"/>
              <w:jc w:val="left"/>
              <w:rPr>
                <w:b/>
              </w:rPr>
            </w:pPr>
            <w:r>
              <w:rPr>
                <w:b/>
              </w:rPr>
              <w:t>Adverum Board Recommendation</w:t>
            </w:r>
          </w:p>
        </w:tc>
        <w:tc>
          <w:tcPr>
            <w:tcW w:w="204" w:type="dxa"/>
            <w:tcBorders/>
            <w:vAlign w:val="bottom"/>
          </w:tcPr>
          <w:p>
            <w:pPr>
              <w:pStyle w:val="TableContents"/>
              <w:bidi w:val="0"/>
              <w:spacing w:before="0" w:after="283"/>
              <w:jc w:val="left"/>
              <w:rPr/>
            </w:pPr>
            <w:r>
              <w:rPr/>
              <w:t>  </w:t>
            </w:r>
          </w:p>
        </w:tc>
        <w:tc>
          <w:tcPr>
            <w:tcW w:w="7757" w:type="dxa"/>
            <w:tcBorders/>
          </w:tcPr>
          <w:p>
            <w:pPr>
              <w:pStyle w:val="TableContents"/>
              <w:bidi w:val="0"/>
              <w:spacing w:before="0" w:after="283"/>
              <w:jc w:val="left"/>
              <w:rPr/>
            </w:pPr>
            <w:r>
              <w:rPr/>
              <w:t>The Adverum Board unanimously resolved to recommend that Adverum stockholders accept the Offer and tender their Shares pursuant to the Offer.</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Who is offering to buy my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Flying Tigers Acquisition Corporation, a Delaware corporation and a direct wholly-owned subsidiary of Lilly, which was formed solely for the purpose of facilitating the acquisition of Adverum by Lilly, is offering to buy all Shares in exchange for the Offer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the context indicates otherwise, in this Offer to Purchase, we use the terms “us,” “we” and “our” to refer to Purchaser together with, where appropriate, Lilly. We use the term “Purchaser” to refer to Flying Tigers Acquisition Corporation alone, the term “Lilly” to refer to Eli Lilly and Company alone and the term “Adverum” to refer to Adverum Biotechnologies, Inc. alone.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Section 8 — “Certain Information Concerning Lilly and Purchaser.” </w:t>
      </w:r>
    </w:p>
    <w:p>
      <w:pPr>
        <w:pStyle w:val="TextBody"/>
        <w:bidi w:val="0"/>
        <w:spacing w:before="360" w:after="0"/>
        <w:jc w:val="left"/>
        <w:rPr>
          <w:rFonts w:ascii="Times New Roman" w:hAnsi="Times New Roman"/>
          <w:b/>
          <w:sz w:val="20"/>
        </w:rPr>
      </w:pPr>
      <w:r>
        <w:rPr>
          <w:rFonts w:ascii="Times New Roman" w:hAnsi="Times New Roman"/>
          <w:b/>
          <w:sz w:val="20"/>
        </w:rPr>
        <w:t xml:space="preserve">What is the class and amount of securities sought pursuant to the Offer?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Purchaser is offering to purchase all of the issued and outstanding Shares on the terms and subject to the conditions set forth in this Offer to Purchase. In this Offer to Purchase, we use the term “Offer” to refer to this offer to purchase the Shares and the term “Shares” to refer to all of the issued and outstanding shares of common stock, par value $0.0001 per share, of Adverum, which are the subject of the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Section 1 — “Terms of the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Why are you making the Offer?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making the Offer because we want to acquire control of, and ultimately the entire equity interest in, Adverum. Following the consummation of the Offer, we intend to complete the Merger (as defined below) as soon as practicable. Upon completion of the Merger, Adverum will become a direct wholly-owned subsidiary of Lilly. In addition, we will cause the Shares to be delisted from The Nasdaq Capital Market (“Nasdaq”) and deregistered under the Securities Exchange Act of 1934, as amended (the “Exchange Act”), after completion of the Merger.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Who can participate in the Offer?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 is open to all holders and beneficial owners of the Shares.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How much are you offering to pay?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Purchaser is offering to pay (i) $3.56 per Share, net to the stockholder in cash, without interest and less any applicable tax withholding, </w:t>
            </w:r>
            <w:r>
              <w:rPr>
                <w:rFonts w:ascii="Times New Roman" w:hAnsi="Times New Roman"/>
                <w:i/>
                <w:sz w:val="20"/>
              </w:rPr>
              <w:t>plus</w:t>
            </w:r>
            <w:r>
              <w:rPr>
                <w:rFonts w:ascii="Times New Roman" w:hAnsi="Times New Roman"/>
                <w:sz w:val="20"/>
              </w:rPr>
              <w:t xml:space="preserve"> (ii) one non-tradable CVR per Share, which represents the contractual right to receive up to two contingent cash payments of up to an aggregate of $8.91 per CVR, net to the stockholder in cash, without interest and less any applicable tax withholding, upon the achievement of certain specified milestones, all in accordance with the terms and subject to the conditions and other provisions set forth in the CVR Agreement. The CVR Agreement contains important terms, conditions and other provisions relating to any potential payment in respect of the CVRs. It is possible that no payment or payment of less than $8.91 per CVR will become payable in respect of the CVRs. See Section 11 — “The Merger Agreement; Other Agreements — CVR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the “Introduction” to this Offer to Purchase. </w:t>
      </w:r>
    </w:p>
    <w:p>
      <w:pPr>
        <w:pStyle w:val="TextBody"/>
        <w:bidi w:val="0"/>
        <w:spacing w:before="360" w:after="0"/>
        <w:jc w:val="left"/>
        <w:rPr>
          <w:rFonts w:ascii="Times New Roman" w:hAnsi="Times New Roman"/>
          <w:b/>
          <w:sz w:val="20"/>
        </w:rPr>
      </w:pPr>
      <w:r>
        <w:rPr>
          <w:rFonts w:ascii="Times New Roman" w:hAnsi="Times New Roman"/>
          <w:b/>
          <w:sz w:val="20"/>
        </w:rPr>
        <w:t xml:space="preserve">Will I have to pay any fees or commissions?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the holder of record of your Shares and you directly tender your Shares to us in the Offer, you will not need to pay brokerage fees or similar expenses. If you own your Shares through a broker, dealer, commercial bank, trust company or other nominee, and your broker, dealer, commercial bank, trust company or other nominee tenders your Shares on your behalf, your broker, dealer, commercial bank, trust company or other nominee may charge you a fee for doing so. You should consult your broker, dealer, commercial bank, trust company or other nominee to determine whether any charges will apply.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the “Introduction” to this Offer to Purchase and Section 18 — “Fees and Expenses.” </w:t>
      </w:r>
    </w:p>
    <w:p>
      <w:pPr>
        <w:pStyle w:val="TextBody"/>
        <w:bidi w:val="0"/>
        <w:spacing w:before="360" w:after="0"/>
        <w:jc w:val="left"/>
        <w:rPr>
          <w:rFonts w:ascii="Times New Roman" w:hAnsi="Times New Roman"/>
          <w:b/>
          <w:sz w:val="20"/>
        </w:rPr>
      </w:pPr>
      <w:r>
        <w:rPr>
          <w:rFonts w:ascii="Times New Roman" w:hAnsi="Times New Roman"/>
          <w:b/>
          <w:sz w:val="20"/>
        </w:rPr>
        <w:t xml:space="preserve">Is there an agreement governing the Offer?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Adverum, Lilly and Purchaser have entered into an Agreement and Plan of Merger, dated October 24, 2025 (as it may be amended from time to time, the “Merger Agreement”). The Merger Agreement contains the terms and conditions of the Offer and the Merger.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Section 11 — “The Merger Agreement; Other Agreements” and Section 15 — “Conditions of the Offer.” </w:t>
      </w:r>
    </w:p>
    <w:p>
      <w:pPr>
        <w:pStyle w:val="TextBody"/>
        <w:bidi w:val="0"/>
        <w:spacing w:before="360" w:after="0"/>
        <w:jc w:val="left"/>
        <w:rPr>
          <w:rFonts w:ascii="Times New Roman" w:hAnsi="Times New Roman"/>
          <w:b/>
          <w:sz w:val="20"/>
        </w:rPr>
      </w:pPr>
      <w:r>
        <w:rPr>
          <w:rFonts w:ascii="Times New Roman" w:hAnsi="Times New Roman"/>
          <w:b/>
          <w:sz w:val="20"/>
        </w:rPr>
        <w:t xml:space="preserve">What is the CVR and how does it work?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CVR represents a non-tradable contractual right to receive up to two contingent cash payments (each a “Milestone Payment,” and collectively, the “Milestone Payments”) of up to an aggregate of $8.91 per CVR, net to the stockholder in cash, without interest and less any applicable tax withholding,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the achievement of certain specified milestones related to the development of any pharmaceutical product that contains or incorporates ixoberogene soroparvovec, formerly referred to as ADVM-022, alone or in combination with one or more other therapeutically active ingredients, including all formulations, dosages, or modes of delivery thereof (the “Ixo-vec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Milestone Payments comprise the First Milestone Payment (as defined below) and the Second Milestone Payment (as defined below), each payable upon the achievement of certain specified regulatory and commercial milestones within specified time periods, as follows: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“First Milestone Payment” is an amount equal to $1.78 per CVR minus any Milestone Offset Amount (as defined below), if any, in cash, without interest, payable if Regulatory Approval (as defined in the CVR Agreement) is received in the United States for an Ixo-vec Product for the treatment of wet age-related macular degeneration (the “First Milestone”) prior to the earlier of (i) 12:00 a.m. New York City Time on the date that is the seventh anniversary of the Closing Date (as defined below), and (ii) the termination of the CVR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“Second Milestone Payment” is an amount equal to $7.13 per CVR minus any Milestone Offset Amount, if any and to the extent not deducted from the First Milestone Payment, in cash, without interest, payable if and when annual worldwide Net Sales (as defined in the CVR Agreement) of an Ixo-vec Product sold by Lilly or its affiliates or licensees first exceed $1.0 billion (the “Second Milestone,” and together with the First Milestone, the “Milestones” and each a “Milestone”) prior to the tenth anniversary of the Closing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“Milestone Offset Amount” is an amount equal to (i) 50% of any payments that Lilly or any of its affiliates or their respective successors or permitted assigns makes or is obligated to make in exchange for any license to, or other right to use or practice, any Necessary IP (as defined in Section 11 — “The Merger Agreement; Other Agreements — CVR Agreement”) divided by (ii) the total number of CVRs held by all eligible holders of CVRs, as reflected on the CVR Register (as defined below) as of the close of business on the date of the Milestone Notice (as defined in the CVR Agreement). The Milestone Offset Amount will in no event exceed $0.50 per CVR. This means that the aggregate consideration per CVR could be lower than $8.91 (but no lower than $8.41) even if each of the Milestones is met within the applicable specified time frame.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the terms of the CVR Agreement, Lilly will, and will cause its subsidiaries, licensees and rights transferees to, use Commercially Reasonable Efforts (as defined in the CVR Agreement) to achieve the First Milestone as promptly as practicable following the Effective Time. However, use of Commercially Reasonable Efforts does not guarantee that Lilly will achieve the First Milestone by a specific date or at all. Whether the Milestone required for payment of the respective Milestone Payment is achieved will depend on many factors, some within control of Lilly and its subsidiaries and others outside the control of Lilly and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can be no assurance that either Milestone will be achieved prior to its expiration or the termination of the CVR Agreement, that any payment will be required of Lilly with respect to the Milestones or that the Milestone Payments will not be reduced as described above. If the Milestones are not achieved in the specified timeframes, the Milestone Payments will not be due or payable to holders of the CVRs and any associated covenants and obligations of Lilly and Purchaser will irrevocably terminate in accordance with the terms of the CVR Agreement. No interest will accrue or be payable in respect of any amount that may become payable in respect of the CVRs.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to payment described above is solely a contractual right governed by the terms and conditions set forth in the CVR Agreement. Holders of CVRs will have no greater rights against Lilly than those accorded to general, unsecured creditors under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more information on the CVRs, see Section 11 — “The Merger Agreement; Other Agreements — CVR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Is it possible that no payment will become payable to holders of the CVRs?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It is possible that the Milestones described above will not be achieved, in which case you will receive only the Cash Consideration for any Shares you tender in the Offer and no payment with respect to the CVRs you hold. It is not possible to predict what payment (if any) will become payable with respect to the CVRs. The CVR Agreement requires Lilly to undertake Commercially Reasonable Efforts (as defined below in Section 11 — “The Merger Agreement; Other Agreements — CVR Agreement”) to achieve the First Milestone (but not the Second Milestone), but there can be no assurance that either Milestone will be achieved prior to its respective expiration or termination of the CVR Agreement, that any payment will be required of Lilly with respect to the Milestones, or that the Milestone Payments will not be reduced as described above by the Milestone Offset Amount.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more information on the CVRs, see Section 11 — “The Merger Agreement; Other Agreements — CVR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May I transfer my CVRs?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CVRs will not be transferable except: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will or intestacy upon death of a 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instrument to an inter vivos or testamentary trust in which the CVRs are to be passed to beneficiaries upon the death of the settlor;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2"/>
        <w:gridCol w:w="8879"/>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a court order;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operation of law (including by consolidation or merger of the holder) or if effectuated without consideration in connection with the dissolution, liquidation or termination of any holder that is a corporation, limited liability company, partnership or other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CVRs held in book-entry or other similar nominee form, from a nominee to a beneficial owner and, if applicable, through an intermediary;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holder is a partnership or limited liability company, a distribution by the transferring partnership or limited liability company to its partners or members, as applicable (so long as such distribution or transfer does not subject the CVRs to a requirement of registration under the Securities Act of 1933, as amended (the “Securities Act”), or the Exchange 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Lilly in connection with the abandonment of such CVR by the applicable 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more information on the CVRs, see Section 11 — “The Merger Agreement; Other Agreements — CVR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Are there any other material terms of the CVRs?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CVRs will not be evidenced by a certificate or other instrument, will not have any voting or dividend rights and will not represent any equity or ownership interest in Lilly, Purchaser, or Adverum or any of their affiliates or subsidiaries (including the Surviving Corporation). The CVRs will not be registered with the SEC or listed for trading.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CVR Agreement provides that, other than the rights of the Rights Agent as set forth in the CVR Agreement, holders of at least 20% of outstanding CVRs set forth in the CVR Register (the “Acting Holders”) have the sole right, on behalf of all holders of CVRs, by virtue or under any provision of the CVR Agreement, to institute any action or proceeding with respect to the CVR Agreement, and no individual holder or other group of holders of CVRs will be entitled to exercise such rights. However, the foregoing does not limit the ability of an individual holder of CVRs to seek a payment due from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party solely to the extent such payment, and the amount of such payment, has been finally determined to be due and payable and has not been paid within the period contemplated by the CVR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CVR Agreement provides that the Rights Agent will have certain audit rights with respect to the Second Milestone from the date of the first commercial sale of the first Ixo-vec Product until the earlier of the achievement of the Second Milestone and the expiration of the Second Milestone. The Acting Holders will have the right to direct the Rights Agent to exercise such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Additionally, the CVR Agreement provides Lilly and the Rights Agent the right to amend, without the consent of holders of CVRs, the CVR Agreement in certain instances, including (i) providing for a successor to Lilly, (ii) adding to the covenants of Lilly as Lilly and the Rights Agent will consider to be for the protection of holders of CVRs (if such provisions do not adversely affect the interests of holders of CVRs (as a group in their capacity as such)), (iii) curing any ambiguities, correcting or supplementing any provisions of the CVR Agreement that may be defective or inconsistent therein or making any provisions with respect to matters or questions arising under the CVR Agreement (if such provisions do not adversely affect the interests of holders of CVRs (as a group in their capacity as such)), (iv) amendments as may be necessary or appropriate to ensure that the CVRs are not subject to registration under the Securities Act, the Exchange Act, or any similar registration or prospectus requirement under applicable securities laws outside the United States (if such provisions do not change either Milestone, the timeframe for expiration of either Milestone or a Milestone Payment), (v) providing for a successor rights agent, (vi) any other amendments for the purpose of adding, eliminating or changing any provisions of the CVR Agreement, unless such addition, elimination or change is adverse to the interests of holders of CVRs (as a group in their capacity as such) and (vii) to reduce the number of CVRs in the event any holder of CVRs agrees to abandon or renounce such holder’s rights under the CVR Agreement. Lilly or Purchaser may also amend the CVR Agreement in other circumstances, including in a manner that is materially adverse to your interests as a holder of CVRs, if Lilly and Purchaser obtain the consent of the Acting Holders, whether evidenced in writing or taken at a meeting of such 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more information on the CVRs, including any offset in an amount to be paid under the CVR, see Section 11 — “The Merger Agreement; Other Agreements — CVR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What is the Promissory Note?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October 24, 2025, in connection with the Merger Agreement, Adverum also entered into a Secured Promissory Note (the “Promissory Note”) with Lilly, pursuant to which Lilly agreed to provide up to $65.0 million in secured debt financing to Adverum, of which $5.0 million was funded on October 28, 2025 and an additional $15.0 million was funded on November 7, 2025. Pursuant to the terms of the Promissory Note, an additional $20.0 million is available at Adverum’s election on November 21, 2025 and an additional $25.0 million is available at Adverum’s election on December 5, 2025, in each case subject to the prior satisfaction of certain funding conditions specified therein, including conditions relating to Adverum’s adherence to an agreed funding plan and the absence of a change in the Adverum Board’s recommendation under the Merger Agreement. Advances will not be available following the termination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Adverum’s obligations under the Promissory Note are guaranteed by each of its subsidiaries and are secured by a first-priority lien on substantially all of Adverum’s and such guarantors’ assets, including intellectual property, accounts, inventory, equipment, and other collateral as defined in the Promissory Note.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proceeds of the Promissory Note are to be used solely to support ongoing Ixo-vec clinical trials and registrational development activities prior to the anticipated closing of the transaction and to fund Adverum’s working capital needs in accordance with an agreed-upon itemized funding plan attached to the Promissory Note.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See Section 11 — “The Merger Agreement; Other Agreements – Promissory Note” for a more detailed discussion of the Promissory Note. </w:t>
      </w:r>
    </w:p>
    <w:p>
      <w:pPr>
        <w:pStyle w:val="TextBody"/>
        <w:bidi w:val="0"/>
        <w:spacing w:before="360" w:after="0"/>
        <w:jc w:val="left"/>
        <w:rPr>
          <w:rFonts w:ascii="Times New Roman" w:hAnsi="Times New Roman"/>
          <w:b/>
          <w:sz w:val="20"/>
        </w:rPr>
      </w:pPr>
      <w:r>
        <w:rPr>
          <w:rFonts w:ascii="Times New Roman" w:hAnsi="Times New Roman"/>
          <w:b/>
          <w:sz w:val="20"/>
        </w:rPr>
        <w:t xml:space="preserve">What are the material U.S. federal income tax consequences of tendering my Shares in the Offer or having my Shares exchanged for cash pursuant to the Merger?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of Shares for cash and CVRs pursuant to the Offer or the Merger will be a taxable transaction for U.S. federal income tax purposes. The amount of gain or loss a U.S. Holder (as defined below) recognizes, and the timing and character of such gain or loss depends in part on the U.S. federal income tax treatment of the CVRs, which is subject to uncertainty. See Section 5 — “Certain Material U.S. Federal Income Tax Consequences” regarding further discussion of the Offer Price and receiving Milestone Payments, if any, pursuant to the CVR.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a Non-U.S. Holder (as defined below), you generally will not be subject to U.S. federal income tax with respect to the receipt of cash and CVRs in exchange for Shares pursuant to the Merger unless you have certain connections to the United States or fail to meet prescribed certification requirements. See Section 5 “Certain Material U.S. Federal Income Tax Consequences” for a more detailed discussion of the tax treatment of the Offer and the Merger.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We urge you to consult with your tax advisor as to the particular tax consequences to you of the Offer and the Merger in light of your particular circumstances (including the application and effect of any U.S. federal, state, local or non-U.S. income and other tax laws). </w:t>
      </w:r>
    </w:p>
    <w:p>
      <w:pPr>
        <w:pStyle w:val="TextBody"/>
        <w:bidi w:val="0"/>
        <w:spacing w:before="360" w:after="0"/>
        <w:jc w:val="left"/>
        <w:rPr>
          <w:rFonts w:ascii="Times New Roman" w:hAnsi="Times New Roman"/>
          <w:b/>
          <w:sz w:val="20"/>
        </w:rPr>
      </w:pPr>
      <w:r>
        <w:rPr>
          <w:rFonts w:ascii="Times New Roman" w:hAnsi="Times New Roman"/>
          <w:b/>
          <w:sz w:val="20"/>
        </w:rPr>
        <w:t xml:space="preserve">Does Purchaser have the financial resources to pay for all of the Shares that it is offering to purchase pursuant to the Offer?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We estimate that we will need approximately $100 million in cash to purchase all of the Shares pursuant to the Offer and to complete the Merger. Lilly will provide Purchaser with sufficient funds to purchase all Shares validly tendered (and not validly withdrawn) in the Offer. In addition, Lilly will need approximately $250 million to pay the maximum aggregate amount that holders of CVRs could be entitled to receive under the CVR Agreement, of which approximately $50 million is payable if the First Milestone is achieved and approximately $200 million is payable if the Second Milestone is achieved. Lilly has or will have available to it, through a variety of sources, including cash on hand and borrowings at prevailing market interest rates under Lilly’s commercial paper program, proceeds from any debt issuance that may be undertaken by Lilly, or a combination of the foregoing, funds necessary to satisfy all of Purchaser’s payment obligations under the Merger Agreement and resulting from the Transactions. The Offer is not conditioned upon Lilly’s or Purchaser’s ability to finance or fund the purchase of the Shares pursuant to the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Section 9 — “Source and Amount of Funds.” </w:t>
      </w:r>
    </w:p>
    <w:p>
      <w:pPr>
        <w:pStyle w:val="TextBody"/>
        <w:bidi w:val="0"/>
        <w:spacing w:before="360" w:after="0"/>
        <w:jc w:val="left"/>
        <w:rPr>
          <w:rFonts w:ascii="Times New Roman" w:hAnsi="Times New Roman"/>
          <w:b/>
          <w:sz w:val="20"/>
        </w:rPr>
      </w:pPr>
      <w:r>
        <w:rPr>
          <w:rFonts w:ascii="Times New Roman" w:hAnsi="Times New Roman"/>
          <w:b/>
          <w:sz w:val="20"/>
        </w:rPr>
        <w:t xml:space="preserve">Is Purchaser’s financial condition relevant to my decision to tender my Shares in the Offer?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do not think Purchaser’s financial condition is relevant to your decision to tender Shares in the Offer because: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 is being made for all issued and outstanding Shares solely for cash (including the right to receive any amount payable with respect to the CVRs, which will be paid in cash upon the achievement of certain specified milestones, all in accordance with the terms and subject to the conditions and other provisions of the CVR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Lilly, Purchaser will have sufficient funds available to purchase all Shares validly tendered (and not validly withdrawn) in the Offer and, if we consummate the Offer and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3"/>
        <w:gridCol w:w="8882"/>
      </w:tblGrid>
      <w:tr>
        <w:trPr/>
        <w:tc>
          <w:tcPr>
            <w:tcW w:w="1323" w:type="dxa"/>
            <w:tcBorders/>
            <w:vAlign w:val="center"/>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Merger, all Shares converted into the right to receive an amount in cash equal to the Offer Price in the Merger, as well as the funds available to pay the maximum aggregate amount that holders of CVRs could be entitled to receive;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 and the Merger are not subject to any financing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While, for the reasons stated above, we do not believe Purchaser’s financial condition to be relevant to your decision to tender your Shares, you should consider the following in connection with your decision to tender your Shares in the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Lilly’s future financial condition could deteriorate such that Lilly would not have the necessary cash or cash equivalents to pay, or cause to be paid, the Milestone Payment if and when due;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of CVRs will have no greater rights against Lilly or the Surviving Corporation than those accorded to general unsecured creditors of Lilly or the Surviving Corporation, as applicable, under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CVRs will be effectively subordinated in right of payment to all of Lilly’s and the Surviving Corporation’s secured obligations, if any, to the extent of the collateral securing such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CVRs will be effectively subordinated in right of payment to all existing and future indebtedness, claims of holders of capital stock and other liabilities, including trade payables, of Lilly’s subsidiaries (other than the Surviving Corporation);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filing of a bankruptcy petition by or on behalf of Lilly or the Surviving Corporation may prevent Lilly or the Surviving Corporation from making some or all payments that may become payable with respect to the CVRs.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Section 9 — “Source and Amount of Funds” and Section 11 — “The Merger Agreement; Other Agreements.” </w:t>
      </w:r>
    </w:p>
    <w:p>
      <w:pPr>
        <w:pStyle w:val="TextBody"/>
        <w:bidi w:val="0"/>
        <w:spacing w:before="360" w:after="0"/>
        <w:jc w:val="left"/>
        <w:rPr>
          <w:rFonts w:ascii="Times New Roman" w:hAnsi="Times New Roman"/>
          <w:b/>
          <w:sz w:val="20"/>
        </w:rPr>
      </w:pPr>
      <w:r>
        <w:rPr>
          <w:rFonts w:ascii="Times New Roman" w:hAnsi="Times New Roman"/>
          <w:b/>
          <w:sz w:val="20"/>
        </w:rPr>
        <w:t xml:space="preserve">Is there a minimum number of Shares that must be tendered in order for you to purchase any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The obligation of Purchaser to accept for payment and pay for Shares validly tendered (and not validly withdrawn) pursuant to the Offer is subject to various conditions set forth in Section 15 — “Conditions of the Offer,” including the Minimum Tender Condition. The “Minimum Tender Condition” means that there have been validly tendered in the Offer (and not validly withdrawn) prior to the Expiration Time (as defined below) that number of Shares that, together with the number of Shares, if any, then owned beneficially by Lilly and Purchaser (together with their wholly-owned subsidiaries), would represent a majority of the Shares outstanding as of the consummation of the Offer. See Section 15 — “Conditions of the Offer.”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If you do not consummate the Offer, will you nevertheless consummate the Merger?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Neither we nor Adverum is under any obligation to pursue or consummate the Merger if the Offer is not consummated as set forth in this Offer to Purchase. See Section 11 — “The Merger Agreement; Other Agreements.”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How long do I have to decide whether to tender my Shares in the Offer?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will have until the Expiration Time to tender your Shares in the Offer. The term “Expiration Time” means one minute past 11:59 p.m., Eastern Time, on December 8, 2025, unless the expiration of the Offer is extended to a subsequent date in accordance with the terms of the Merger Agreement, in which case the term “Expiration Time” means such subsequent time on such subsequent date. In addition, if, pursuant to the Merger Agreement, we decide to, or are required to, extend the Offer as described below, you will have an additional period of time to tender your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See Section 1 — “Terms of the Offer” and Section 3 — “Procedures for Accepting the Offer and Tendering Shares.” </w:t>
      </w:r>
    </w:p>
    <w:p>
      <w:pPr>
        <w:pStyle w:val="TextBody"/>
        <w:bidi w:val="0"/>
        <w:spacing w:before="360" w:after="0"/>
        <w:jc w:val="left"/>
        <w:rPr>
          <w:rFonts w:ascii="Times New Roman" w:hAnsi="Times New Roman"/>
          <w:b/>
          <w:sz w:val="20"/>
        </w:rPr>
      </w:pPr>
      <w:r>
        <w:rPr>
          <w:rFonts w:ascii="Times New Roman" w:hAnsi="Times New Roman"/>
          <w:b/>
          <w:sz w:val="20"/>
        </w:rPr>
        <w:t xml:space="preserve">Can the Offer be extended and under what circumstances?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The Merger Agreement contains provisions that govern the circumstances under which Purchaser is required or permitted to extend the Offer. Specifically, the Merger Agreement provides: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at the scheduled Expiration Time, any Offer Condition (as defined in Section 15 — “Conditions of the Offer”), other than solely (A) the Minimum Tender Condition, and (B) any such conditions that by their nature are to be satisfied at the Expiration Time, has not been satisfied or waived, Purchaser will extend the Offer for one or more consecutive increments of up to five business days each (or for such longer period as may be agreed to by Lilly and Adverum), until such time as such conditions have been satisfied or waived;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Purchaser will extend the Offer for any period required by any rule, regulation, interpretation or position of the SEC, the staff thereof or Nasdaq applicable to the Offer;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at the scheduled Expiration Time, each Offer Condition (other than the Minimum Tender Condition and any such conditions that by their nature are to be satisfied at the Expiration Time) will have been satisfied or waived and the Minimum Tender Condition will not have been satisfied, Purchaser may elect to (and if so requested by Adverum, Purchaser will) extend the Offer for one or more consecutive increments of such duration as requested by Adverum (or if not so requested, as determined by Purchaser) but not more than five business days each (or for such longer period as may be agreed to by Adverum and Lilly); however, Adverum may not request Purchaser to, and Purchaser will not be required to, extend the Offer on more than two occasions in consecutive periods of five business days each (or such longer or shorter period as may be agreed to by Adverum and Purchaser) pursuant to this clause (iii).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each case, Purchaser is not required to extend the Offer beyond the Outside Date. The “Outside Date” means January 22, 2026, unless otherwise extended by mutual written agreement of Lilly, Purchaser and Adverum.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Section 1 — “Terms of the Offer” and Section 11 — “The Merger Agreement; Other Agreements.” </w:t>
      </w:r>
    </w:p>
    <w:p>
      <w:pPr>
        <w:pStyle w:val="TextBody"/>
        <w:bidi w:val="0"/>
        <w:spacing w:before="360" w:after="0"/>
        <w:jc w:val="left"/>
        <w:rPr>
          <w:rFonts w:ascii="Times New Roman" w:hAnsi="Times New Roman"/>
          <w:b/>
          <w:sz w:val="20"/>
        </w:rPr>
      </w:pPr>
      <w:r>
        <w:rPr>
          <w:rFonts w:ascii="Times New Roman" w:hAnsi="Times New Roman"/>
          <w:b/>
          <w:sz w:val="20"/>
        </w:rPr>
        <w:t xml:space="preserve">Will there be a subsequent offering period?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the Merger Agreement does not permit Purchaser to provide for a “subsequent offering period” in accordance with Rule 14d-11 under the Exchange Act without the prior written consent of Adverum.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How will I be notified if the Offer is extended?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extend the Offer, we intend to inform Computershare Trust, the depositary and paying agent for the Offer (in such capacity, the “Depositary”), of any extension, and will issue a press release announcing the extension no later than 9:00 a.m., Eastern Time, on the business day after the previously scheduled Expiration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Section 1 — “Terms of the Offer.” </w:t>
      </w:r>
    </w:p>
    <w:p>
      <w:pPr>
        <w:pStyle w:val="TextBody"/>
        <w:bidi w:val="0"/>
        <w:spacing w:before="360" w:after="0"/>
        <w:jc w:val="left"/>
        <w:rPr>
          <w:rFonts w:ascii="Times New Roman" w:hAnsi="Times New Roman"/>
          <w:b/>
          <w:sz w:val="20"/>
        </w:rPr>
      </w:pPr>
      <w:r>
        <w:rPr>
          <w:rFonts w:ascii="Times New Roman" w:hAnsi="Times New Roman"/>
          <w:b/>
          <w:sz w:val="20"/>
        </w:rPr>
        <w:t xml:space="preserve">What are the most significant conditions to the Offer?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obligation of Purchaser to accept for payment and pay for Shares validly tendered (and not validly withdrawn) pursuant to the Offer is subject to the satisfaction of a number of conditions by the scheduled Expiration Time, including, among other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Minimum Tender Condition (as defined below in Section 15 — “Conditions of the Offer”);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viii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Representations Condition (as defined below in Section 15 — “Conditions of the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Legal Restraint Condition (as defined below in Section 15 — “Conditions of the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Promissory Note Condition (as defined below in Section 15 — “Conditions of the Offer”);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a Company Material Adverse Effect (as defined below in Section 11 — “The Merger Agreement; Other Agreements — Merger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above Offer Conditions are further described, and other Offer Conditions are described, below in Section 15 — “Conditions of the Offer.” The Offer and the Merger are not subject to any financing condition. </w:t>
      </w:r>
    </w:p>
    <w:p>
      <w:pPr>
        <w:pStyle w:val="TextBody"/>
        <w:bidi w:val="0"/>
        <w:spacing w:before="360" w:after="0"/>
        <w:jc w:val="left"/>
        <w:rPr>
          <w:rFonts w:ascii="Times New Roman" w:hAnsi="Times New Roman"/>
          <w:b/>
          <w:sz w:val="20"/>
        </w:rPr>
      </w:pPr>
      <w:r>
        <w:rPr>
          <w:rFonts w:ascii="Times New Roman" w:hAnsi="Times New Roman"/>
          <w:b/>
          <w:sz w:val="20"/>
        </w:rPr>
        <w:t xml:space="preserve">How do I tender my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hold your Shares directly as the holder of record, complete and sign the Letter of Transmittal (or, in the case of a book-entry transfer, deliver an Agent’s Message in lieu of the Letter of Transmittal) that accompanies this Offer to Purchase in accordance with the instructions set forth therein and mail or deliver the Letter of Transmittal with any required signature guarantees and all other required documents to the Depositary. These materials must be delivered to the Depositary prior to the Expiration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hold your Shares through a broker, dealer, commercial bank, trust company or other nominee, request your broker, dealer, commercial bank, trust company or other nominee to tender your Shares through ATOP prior to the Expiration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We are not providing for guaranteed delivery procedures. Therefore, Adverum stockholders must allow sufficient time for the necessary tender procedures to be completed during normal business hours of DTC, which end earlier than the Expiration Time. Normal business hours of DTC are between 8:00 a.m. and 5:00 p.m., Eastern Time, Monday through Friday. Adverum stockholders must tender their Shares in accordance with the procedures set forth in this Offer to Purchase and the related Letter of</w:t>
            </w:r>
            <w:r>
              <w:rPr>
                <w:rFonts w:ascii="Times New Roman" w:hAnsi="Times New Roman"/>
                <w:sz w:val="20"/>
              </w:rPr>
              <w:t xml:space="preserve"> </w:t>
            </w:r>
            <w:r>
              <w:rPr>
                <w:rFonts w:ascii="Times New Roman" w:hAnsi="Times New Roman"/>
                <w:b/>
                <w:sz w:val="20"/>
              </w:rPr>
              <w:t>Transmittal prior to the Expiration Time. Tenders received by the Depositary after the Expiration Time will be disregarded and of no effect.</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Section 3 — “Procedures for Accepting the Offer and Tendering Shares.” </w:t>
      </w:r>
    </w:p>
    <w:p>
      <w:pPr>
        <w:pStyle w:val="TextBody"/>
        <w:bidi w:val="0"/>
        <w:spacing w:before="360" w:after="0"/>
        <w:jc w:val="left"/>
        <w:rPr>
          <w:rFonts w:ascii="Times New Roman" w:hAnsi="Times New Roman"/>
          <w:b/>
          <w:sz w:val="20"/>
        </w:rPr>
      </w:pPr>
      <w:r>
        <w:rPr>
          <w:rFonts w:ascii="Times New Roman" w:hAnsi="Times New Roman"/>
          <w:b/>
          <w:sz w:val="20"/>
        </w:rPr>
        <w:t xml:space="preserve">If I accept the Offer, how will I get paid?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Offer Conditions are satisfied and we accept your validly tendered Shares for payment, payment will be made by deposit of the aggregate Cash Consideration for the Shares accepted in the Offer with the Depositary, which will act as agent for tendering stockholders for the purpose of receiving payments from Purchaser and transmitting payments, subject to any tax withholding required by applicable law, to tendering stockholders whose Shares have been accepted for payment.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Section 3 — “Procedures for Accepting the Offer and Tendering Shares.” </w:t>
      </w:r>
    </w:p>
    <w:p>
      <w:pPr>
        <w:pStyle w:val="TextBody"/>
        <w:bidi w:val="0"/>
        <w:spacing w:before="360" w:after="0"/>
        <w:jc w:val="left"/>
        <w:rPr>
          <w:rFonts w:ascii="Times New Roman" w:hAnsi="Times New Roman"/>
          <w:b/>
          <w:sz w:val="20"/>
        </w:rPr>
      </w:pPr>
      <w:r>
        <w:rPr>
          <w:rFonts w:ascii="Times New Roman" w:hAnsi="Times New Roman"/>
          <w:b/>
          <w:sz w:val="20"/>
        </w:rPr>
        <w:t xml:space="preserve">Until what time may I withdraw previously tendered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withdraw your previously tendered Shares at any time until the Expiration Time. Thereafter, tenders are irrevocable, except that if we have not accepted your Shares for payment within 60 days of commencement of the Offer, you may withdraw them at any time after January 6, 2026, the 60th day after commencement of the Offer, until Purchaser accepts your Shares for payment.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Section 4 — “Withdrawal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ix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How do I validly withdraw previously tendered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validly withdraw previously tendered Shares, you must deliver a written notice of withdrawal with the required information to the Depositary prior to the Expiration Time. If you tendered your Shares by giving instructions to a broker, dealer, commercial bank, trust company or other nominee, you must instruct the broker, dealer, commercial bank, trust company or other nominee to arrange for the withdrawal of your Shares in a timely manner prior to the Expiration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Section 4 — “Withdrawal Rights.” </w:t>
      </w:r>
    </w:p>
    <w:p>
      <w:pPr>
        <w:pStyle w:val="TextBody"/>
        <w:bidi w:val="0"/>
        <w:spacing w:before="360" w:after="0"/>
        <w:jc w:val="left"/>
        <w:rPr>
          <w:rFonts w:ascii="Times New Roman" w:hAnsi="Times New Roman"/>
          <w:b/>
          <w:sz w:val="20"/>
        </w:rPr>
      </w:pPr>
      <w:r>
        <w:rPr>
          <w:rFonts w:ascii="Times New Roman" w:hAnsi="Times New Roman"/>
          <w:b/>
          <w:sz w:val="20"/>
        </w:rPr>
        <w:t xml:space="preserve">Has the Offer been approved by the Adverum Board?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The Adverum Board unanimously (i) determined that the Merger Agreement and the Transactions are advisable, fair to, and in the best interests of, Adverum and the holders of the Shares, (ii) duly authorized and approved the execution and delivery of the Merger Agreement, the performance by Adverum of its covenants and other obligations thereunder, and the consummation of the Transactions upon the terms and subject to the conditions set forth therein, (iii) resolved that the Merger Agreement and the Transactions will be governed by and effected under Section 251(h) and other relevant provisions of the DGCL and (iv) resolved to recommend that Adverum stockholders accept the Offer and tender their Shares pursuant to the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Descriptions of the reasons for the Adverum Board’s recommendation and approval of the Offer are set forth in Adverum’s Solicitation/Recommendation Statement on Schedule 14D-9 (the “Schedule 14D-9”), which is being disseminated to Adverum stockholders together with the Offer materials (including this Offer to Purchase and the related Letter of Transmittal)</w:t>
            </w:r>
            <w:r>
              <w:rPr>
                <w:rFonts w:ascii="Times New Roman" w:hAnsi="Times New Roman"/>
                <w:sz w:val="20"/>
              </w:rPr>
              <w:t xml:space="preserve">. Stockholders should carefully read the information set forth in the Schedule 14D-9, including the information set forth in Item 4 thereof under the sub-headings “Background of the Offer” and “Reasons for the Recommendation of the Company Board.”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If Shares tendered pursuant to the Offer are purchased by Purchaser, will Adverum continue as a public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We expect to complete the Merger as soon as practicable following the consummation of the Offer. Once the Merger takes place, Adverum will become a direct wholly-owned subsidiary of Lilly. Following the Merger, we will cause the Shares to be delisted from Nasdaq and deregistered under the Exchange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Section 13 — “Certain Effects of the Offer.” </w:t>
      </w:r>
    </w:p>
    <w:p>
      <w:pPr>
        <w:pStyle w:val="TextBody"/>
        <w:bidi w:val="0"/>
        <w:spacing w:before="360" w:after="0"/>
        <w:jc w:val="left"/>
        <w:rPr>
          <w:rFonts w:ascii="Times New Roman" w:hAnsi="Times New Roman"/>
          <w:b/>
          <w:sz w:val="20"/>
        </w:rPr>
      </w:pPr>
      <w:r>
        <w:rPr>
          <w:rFonts w:ascii="Times New Roman" w:hAnsi="Times New Roman"/>
          <w:b/>
          <w:sz w:val="20"/>
        </w:rPr>
        <w:t xml:space="preserve">Will a meeting of Adverum stockholders be required to approve the Merger?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Section 251(h) of the DGCL (“Section 251(h)”) provides that, unless expressly required by its certificate of incorporation, no vote of stockholders will be necessary to authorize the merger of a constituent corporation which has a class or series of stock listed on a national securities exchange or held of record by more than 2,000 holders immediately prior to the execution of the applicable agreement of merger by such constituent corporation if, subject to certain statutory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agreement of merger expressly permits or requires that the merger will be effected by Section 251(h) and provides that such merger be effected as soon as practicable following the consummation of the tender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acquiring corporation consummates a tender offer for all of the outstanding stock of such constituent corporation on the terms provided in such agreement of merger that, absent the provisions of Section 251(h), would be entitled to vote on the adoption or rejection of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6"/>
        <w:gridCol w:w="8879"/>
      </w:tblGrid>
      <w:tr>
        <w:trPr/>
        <w:tc>
          <w:tcPr>
            <w:tcW w:w="1326" w:type="dxa"/>
            <w:tcBorders/>
            <w:vAlign w:val="center"/>
          </w:tcPr>
          <w:p>
            <w:pPr>
              <w:pStyle w:val="TableContents"/>
              <w:bidi w:val="0"/>
              <w:spacing w:before="0" w:after="283"/>
              <w:jc w:val="left"/>
              <w:rPr/>
            </w:pPr>
            <w:r>
              <w:rPr/>
              <w:t> </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agreement of merger; provided, however, that such tender offer may be conditioned on the tender of a minimum number or percentage of shares of the stock of such constituent corporation, or of any class or series thereof, and such tender offer may exclude any excluded stock (as defined in the DGCL);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following the consummation of the tender offer, the stock that the acquiring corporation irrevocably accepts for purchase pursuant to such tender offer, together with the stock otherwise owned by the acquiring corporation or its affiliates, equals at least the percentage of shares of stock of such constituent corporation, that, absent Section 251(h), would be required to adopt the agreement of merger for such constituent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acquiring corporation merges with or into such constituent corporation pursuant to such agreement of merger;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outstanding share (other than shares of excluded stock) of each class or series of stock of the constituent corporation that is the subject of and not irrevocably accepted for purchase in the offer is converted in such merger into, or into the right to receive, the same amount and kind of cash, property, rights or securities to be paid for such shares of such class or series of stock of such constituent corporation irrevocably accepted for purchase in such tender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conditions to the Offer and the Merger are satisfied or waived (to the extent waivable), we are required by the Merger Agreement to effect the Merger pursuant to Section 251(h) without a meeting of Adverum stockholders and without a vote or any further action by Adverum stockholders.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Section 16 — “Certain Legal Matters; Regulatory Approvals.” </w:t>
      </w:r>
    </w:p>
    <w:p>
      <w:pPr>
        <w:pStyle w:val="TextBody"/>
        <w:bidi w:val="0"/>
        <w:spacing w:before="360" w:after="0"/>
        <w:jc w:val="left"/>
        <w:rPr>
          <w:rFonts w:ascii="Times New Roman" w:hAnsi="Times New Roman"/>
          <w:b/>
          <w:sz w:val="20"/>
        </w:rPr>
      </w:pPr>
      <w:r>
        <w:rPr>
          <w:rFonts w:ascii="Times New Roman" w:hAnsi="Times New Roman"/>
          <w:b/>
          <w:sz w:val="20"/>
        </w:rPr>
        <w:t xml:space="preserve">If I do not tender my Shares but the Offer is consummated, what will happen to my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Offer is consummated, subject to the satisfaction or waiver of certain conditions set forth in the Merger Agreement (Section 11 — “The Merger Agreement; Other Agreements”), Purchaser will merge with and into Adverum pursuant to Section 251(h). At the Effective Time, each Share issued and outstanding immediately prior to the Effective Time (other than (i) Shares held in the treasury of Adverum or owned by Adverum, (ii) Shares owned by Lilly, Purchaser or any direct or indirect wholly-owned subsidiary of Lilly or Purchaser or (iii) Dissenting Shares) will be converted into the right to receive the Offer Price, without interest, from Purchaser, less any applicable tax withholding.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Merger is completed, Adverum stockholders who do not tender their Shares in the Offer (other than stockholders who properly exercise appraisal rights) will receive the same Offer Price per Share that they would have received had they tendered their Shares in the Offer. Therefore, if the Offer is consummated and the Merger is completed, the only differences to you between tendering your Shares and not tendering your Shares in the Offer are that (i) you may be paid earlier if you tender your Shares in the Offer, and (ii) appraisal rights will not be available to you if you tender Shares in the Offer, but will be available to you in the Merger if you do not tender Shares in the Offer and you comply in all respects with Section 262. See Section 17 — “Appraisal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However, in the unlikely event that the Offer is consummated but the Merger is not completed, the number of Adverum stockholders and the number of Shares that are still in the hands of the public may be so small that there will no longer be an active public trading market (or, possibly, there may not be any public trading market) for the Shares. Also, in such event, it is possible that the Shares will be delisted from Nasdaq and Adverum will no longer be required to make filings with the SEC under the Exchange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the “Introduction” to this Offer to Purchase, Section 11 — “The Merger Agreement; Other Agreements” and Section 13 — “Certain Effects of the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What will happen to my stock options, restricted stock units and performance stock units in the Offer?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 is being made only for Shares, and not for any outstanding stock options, restricted stock units or performance stock units or warrants of Adverum.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provides for the following treatment of Adverum’s equity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Effective Time, each option to purchase Shares granted under Adverum’s 2024 Equity Incentive Award Plan, Adverum’s 2014 Equity Incentive Award Plan, or Adverum’s 2017 Inducement Plan (each, as amended and restated, a “Company Equity Plan”) or otherwise (each, a “Company Stock Option”) with a per share exercise price that is less than the Cash Consideration that is outstanding immediately prior to the Effective Time, whether or not vested (each such Company Stock Option, a “Company Cash-Out Stock Option”) will be cancelled, and, in exchange therefor, the holder of such cancelled Company Cash-Out Stock Option will be entitled to receive, in consideration of the cancellation of such Company Cash-Out Stock Option, (A) an amount in cash (without interest and </w:t>
            </w:r>
            <w:r>
              <w:rPr>
                <w:rFonts w:ascii="Times New Roman" w:hAnsi="Times New Roman"/>
                <w:i/>
                <w:sz w:val="20"/>
              </w:rPr>
              <w:t>less</w:t>
            </w:r>
            <w:r>
              <w:rPr>
                <w:rFonts w:ascii="Times New Roman" w:hAnsi="Times New Roman"/>
                <w:sz w:val="20"/>
              </w:rPr>
              <w:t xml:space="preserve"> applicable tax withholdings pursuant to the Merger Agreement) equal to the product of (1) the total number of Shares subject to such Company Cash-Out Stock Option immediately prior to the Effective Time </w:t>
            </w:r>
            <w:r>
              <w:rPr>
                <w:rFonts w:ascii="Times New Roman" w:hAnsi="Times New Roman"/>
                <w:i/>
                <w:sz w:val="20"/>
              </w:rPr>
              <w:t>multiplied</w:t>
            </w:r>
            <w:r>
              <w:rPr>
                <w:rFonts w:ascii="Times New Roman" w:hAnsi="Times New Roman"/>
                <w:sz w:val="20"/>
              </w:rPr>
              <w:t xml:space="preserve"> by (2) the excess, if any, of the Cash Consideration over the applicable exercise price per share under such Company Cash-Out Stock Option, and (B) one CVR for each Share subject to such Company Cash-Out Stock Option immediately prior to the Effective Time (without regard to vesting);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Effective Time, each Company Stock Option with an exercise price equal to or greater than the Cash Consideration that is outstanding immediately prior to the Effective Time (each such Company Stock Option, an “Out-of-the-Money Option”), to the extent not vested, will become fully vested as of prior to the Effective Time, and Adverum shall permit the holders of Out-of-the-Money Options to exercise such Out-of-the-Money Options prior to the Effective Time on a basis that allows such holders to participate in the Merger with respect to any Shares acquired under such Out-of-the-Money Options as a holder of Shares, with any Out-of-the-Money Options that remain outstanding and unexercised as of the Effective Time cancelled for no consideration at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Effective Time, each restricted stock unit granted under a Company Equity Plan or otherwise that is subject solely to time-based vesting (each, a “Company RSU”) that is outstanding and unvested immediately prior to the Effective Time will be cancelled, and, in exchange therefor, the holder of such cancelled Company RSU will be entitled to receive, in consideration of the cancellation of such Company RSU, (A) an amount in cash (without interest and </w:t>
            </w:r>
            <w:r>
              <w:rPr>
                <w:rFonts w:ascii="Times New Roman" w:hAnsi="Times New Roman"/>
                <w:i/>
                <w:sz w:val="20"/>
              </w:rPr>
              <w:t>less</w:t>
            </w:r>
            <w:r>
              <w:rPr>
                <w:rFonts w:ascii="Times New Roman" w:hAnsi="Times New Roman"/>
                <w:sz w:val="20"/>
              </w:rPr>
              <w:t xml:space="preserve"> applicable tax withholding pursuant to the Merger Agreement) equal to the product of (1) the total number of Shares subject to such Company RSU immediately prior to the Effective Time, </w:t>
            </w:r>
            <w:r>
              <w:rPr>
                <w:rFonts w:ascii="Times New Roman" w:hAnsi="Times New Roman"/>
                <w:i/>
                <w:sz w:val="20"/>
              </w:rPr>
              <w:t>multiplied</w:t>
            </w:r>
            <w:r>
              <w:rPr>
                <w:rFonts w:ascii="Times New Roman" w:hAnsi="Times New Roman"/>
                <w:sz w:val="20"/>
              </w:rPr>
              <w:t xml:space="preserve"> by (2) the Cash Consideration, and (B) one CVR for each Share subject to such Company RSU immediately prior to the Effective Time (without regard to vesting);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Effective Time, each restricted stock unit granted under a Company Equity Plan or otherwise that is subject solely to performance-based vesting (each, a “Company PSU”) that is outstanding and unvested immediately prior to the Effective Time will be cancelled, and, in exchange therefor, the holder of such cancelled Company PSU will be entitled to receive, in consideration of the cancellation of such Company PSU, (A) an amount in cash (without interest and </w:t>
            </w:r>
            <w:r>
              <w:rPr>
                <w:rFonts w:ascii="Times New Roman" w:hAnsi="Times New Roman"/>
                <w:i/>
                <w:sz w:val="20"/>
              </w:rPr>
              <w:t xml:space="preserve">less </w:t>
            </w:r>
            <w:r>
              <w:rPr>
                <w:rFonts w:ascii="Times New Roman" w:hAnsi="Times New Roman"/>
                <w:sz w:val="20"/>
              </w:rPr>
              <w:t xml:space="preserve">applicable tax withholdings pursuant to the Merger Agreement) equal to the product of (1) the total number of Shares subject to such Company PSU immediately prior to the Effective Time </w:t>
            </w:r>
            <w:r>
              <w:rPr>
                <w:rFonts w:ascii="Times New Roman" w:hAnsi="Times New Roman"/>
                <w:i/>
                <w:sz w:val="20"/>
              </w:rPr>
              <w:t xml:space="preserve">multiplied </w:t>
            </w:r>
            <w:r>
              <w:rPr>
                <w:rFonts w:ascii="Times New Roman" w:hAnsi="Times New Roman"/>
                <w:sz w:val="20"/>
              </w:rPr>
              <w:t xml:space="preserve">by (2) the Cash Consideration, and (B) one CVR for each Share subject to such Company PSU immediately prior to the Effective Time (without regard to vesting);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payments to former holders in respect of Company Cash-Out Stock Options, Company RSUs and Company PSUs required under the Merger Agreement who were granted such interests as an employee of Adverum or one of its subsidiaries will be made, net of any applicable tax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xii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5"/>
        <w:gridCol w:w="8880"/>
      </w:tblGrid>
      <w:tr>
        <w:trPr/>
        <w:tc>
          <w:tcPr>
            <w:tcW w:w="1325" w:type="dxa"/>
            <w:tcBorders/>
            <w:vAlign w:val="center"/>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withholding, as promptly as practicable after the Effective Time or the applicable Milestone Payment Date (as defined under the CVR Agreement) under the CVR Agreement, as applicable, and, in any event, no later than the second (2nd) regularly scheduled payroll date that follows (i) with respect to the Cash Consideration, the Effective Time, and (ii) with respect to the amounts payable upon satisfaction of a Milestone (as defined in the CVR Agreement) pursuant to the CVR Agreement, such time as the Rights Agent pays the Milestone Payment amount in accordance with the CVR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Section 11 — “The Merger Agreement; Other Agreements —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What will happen to the Adverum 2014 Employee Stock Purchase Plan (the “Company ESPP”) and the Company Equity Plans?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Offering Period (as defined in the Company ESPP) in effect as of the date of the Merger Agreement, if any, no individual who was not a participant in the Company ESPP as of the date of the Merger Agreement may enroll in the Company ESPP with respect to such Offering Period and no participant may increase the percentage amount of his or her payroll deduction election from that in effect on the date of the Merger Agreement for such Offering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new Offering Period will commence following the date of the Merger Agreement unless and until the Merger Agreement is terminated.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applicable purchase date with respect to the Offering Period in effect as of the date of the Merger Agreement, if any, would otherwise occur on or after the date on which the closing of the Merger occurs (the “Closing Date”), then (i) such Offering Period (the “Final Offering Period”) will be shortened and the New Exercise Date (as defined in the Company ESPP) with respect to the Final Offering Period will occur no later than three business days prior to the Closing Date, and (ii) each outstanding Share obtained through the exercise of any outstanding right under the Company ESPP will receive the Merger Consideration pursuant to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ESPP will be terminated as of, or prior to, the Effective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Section 11 — “The Merger Agreement; Other Agreements —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What will happen to my warrants in the Offer?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Effective Time, each warrant to purchase Shares (collectively, the “Warrants”) that is issued and outstanding immediately prior to the Effective Time, unless otherwise elected by the holder of any such Warrant, will be replaced, in accordance with the terms of each Warrant, with a warrant issued by the Surviving Corporation and exercisable for (A) an amount in cash (less applicable tax withholdings pursuant to the Merger Agreement) equal to the product of (1) the total number of Shares in respect of such Warrant; multiplied by (2) the excess, if any, of the Cash Consideration over the per Share exercise price under such Warrant, and (B) one CVR for each Share in respect of such Warrant immediately prior to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 per share exercise price under any Warrant is equal to or greater than the Merger Consideration, such Warrant will be cancelled as of the Effective Time without payment and have no further force or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holder of Warrants that wishes to tender into the Offer must exercise its Warrants in accordance with their terms sufficiently in advance of the Expiration Time such that they can tender the Shares issued in respect of such Warrants into the Offer. Lilly and Adverum encourage holders of Warrants to exercise their Warrants and tender their Shares into the Offer, because outstanding Warrants will not be taken into account in determining whether the Minimum Tender Condition has been satisfied.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Section 11 — “The Merger Agreement; Other Agreements —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xiii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What is the market value of my Shares as of a recent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October 23, 2025, the last full day of trading before the public announcement of the execution of the Merger Agreement, the reported closing price of the Shares on Nasdaq was $4.18 per Share. On November 6, 2025, the last full day of trading before commencement of the Offer, the reported closing price of the Shares on Nasdaq was $4.28 per Share. We encourage you to obtain a recent market quotation for the Shares before deciding whether to tender your Shares.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Section 6 — “Price Range of Shares; Dividends on the Shares.” </w:t>
      </w:r>
    </w:p>
    <w:p>
      <w:pPr>
        <w:pStyle w:val="TextBody"/>
        <w:bidi w:val="0"/>
        <w:spacing w:before="360" w:after="0"/>
        <w:jc w:val="left"/>
        <w:rPr>
          <w:rFonts w:ascii="Times New Roman" w:hAnsi="Times New Roman"/>
          <w:b/>
          <w:sz w:val="20"/>
        </w:rPr>
      </w:pPr>
      <w:r>
        <w:rPr>
          <w:rFonts w:ascii="Times New Roman" w:hAnsi="Times New Roman"/>
          <w:b/>
          <w:sz w:val="20"/>
        </w:rPr>
        <w:t xml:space="preserve">Will I have appraisal rights in connection with the Offer?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appraisal rights will be available to holders of Shares who tender such Shares in connection with the Offer. However, if Purchaser purchases Shares pursuant to the Offer and the Merger is completed, holders of Shares immediately prior to the Effective Time who (i) did not tender their Shares in the Offer, (ii) follow the procedures set forth in Section 262 and (iii) do not thereafter lose such holders’ appraisal rights (by withdrawal, failure to perfect or otherwise), in each case in accordance with the DGCL, will be entitled to have their Shares appraised by the Delaware Court of Chancery (the “Delaware Court”) and to receive payment of the “fair value” of such Shares, exclusive of any element of value arising from the accomplishment or expectation of the Merger, together with interest thereon. The “fair value” could be greater than, less than or the same as the Offer Price. More information regarding Section 262, including how to access it without subscription or cost, is set forth in Adverum’s Solicitation/Recommendation Statement on Schedule 14D-9, which is being disseminated to Adverum stockholders together with the Offer materials (including this Offer to Purchase and the related Letter of Transmittal).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Section 17 — “Appraisal Rights.” </w:t>
      </w:r>
    </w:p>
    <w:p>
      <w:pPr>
        <w:pStyle w:val="TextBody"/>
        <w:bidi w:val="0"/>
        <w:spacing w:before="360" w:after="0"/>
        <w:jc w:val="left"/>
        <w:rPr>
          <w:rFonts w:ascii="Times New Roman" w:hAnsi="Times New Roman"/>
          <w:b/>
          <w:sz w:val="20"/>
        </w:rPr>
      </w:pPr>
      <w:r>
        <w:rPr>
          <w:rFonts w:ascii="Times New Roman" w:hAnsi="Times New Roman"/>
          <w:b/>
          <w:sz w:val="20"/>
        </w:rPr>
        <w:t xml:space="preserve">Whom should I call if I have questions about the Offer?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call Georgeson LLC, the information agent for the Offer (the “Information Agent”), toll free at (888) 446-9207 or (862) 243-7027 outside the U.S. and Canada. See the back cover of this Offer to Purchase for additional contact information for the Information Agent.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5" w:name="toc67752_2"/>
      <w:bookmarkEnd w:id="5"/>
      <w:r>
        <w:rPr>
          <w:rFonts w:ascii="Times New Roman" w:hAnsi="Times New Roman"/>
          <w:b/>
          <w:sz w:val="20"/>
        </w:rPr>
        <w:t xml:space="preserve">INTRODUCTION </w:t>
      </w:r>
    </w:p>
    <w:p>
      <w:pPr>
        <w:pStyle w:val="TextBody"/>
        <w:bidi w:val="0"/>
        <w:spacing w:before="240" w:after="0"/>
        <w:jc w:val="left"/>
        <w:rPr>
          <w:rFonts w:ascii="Times New Roman" w:hAnsi="Times New Roman"/>
          <w:sz w:val="20"/>
        </w:rPr>
      </w:pPr>
      <w:r>
        <w:rPr>
          <w:rFonts w:ascii="Times New Roman" w:hAnsi="Times New Roman"/>
          <w:sz w:val="20"/>
        </w:rPr>
        <w:t xml:space="preserve">Flying Tigers Acquisition Corporation, a Delaware corporation (“Purchaser”) and a direct wholly-owned subsidiary of Eli Lilly and Company, an Indiana corporation (“Lilly”), is offering to purchase all of the issued and outstanding shares of common stock, par value $0.0001 per share (the “Shares”), of Adverum Biotechnologies, Inc., a Delaware corporation (“Adverum”), in exchange for (i) $3.56 per Share, net to the stockholder in cash, without interest (the “Cash Consideration”) and less any applicable tax withholding, </w:t>
      </w:r>
      <w:r>
        <w:rPr>
          <w:rFonts w:ascii="Times New Roman" w:hAnsi="Times New Roman"/>
          <w:i/>
          <w:sz w:val="20"/>
        </w:rPr>
        <w:t>plus</w:t>
      </w:r>
      <w:r>
        <w:rPr>
          <w:rFonts w:ascii="Times New Roman" w:hAnsi="Times New Roman"/>
          <w:sz w:val="20"/>
        </w:rPr>
        <w:t xml:space="preserve"> (ii) one non-tradable contingent value right (each, a “CVR”) per Share, which represents the contractual right to receive up to two contingent cash payments of up to an aggregate of $8.91 per CVR, net to the stockholder in cash, without interest and less any applicable tax withholding, upon the achievement of certain specified milestones, all in accordance with the terms and subject to the conditions and other provisions of a contingent value rights agreement (the “CVR Agreement”) to be entered into by and between Lilly, Computershare, Inc., a Delaware corporation (“Computershare”), and its affiliate, Computershare Trust Company, N.A., a federally chartered trust company (“Computershare Trust” and, together with Computershare, the “Rights Agent”) (the Cash Consideration </w:t>
      </w:r>
      <w:r>
        <w:rPr>
          <w:rFonts w:ascii="Times New Roman" w:hAnsi="Times New Roman"/>
          <w:i/>
          <w:sz w:val="20"/>
        </w:rPr>
        <w:t>plus</w:t>
      </w:r>
      <w:r>
        <w:rPr>
          <w:rFonts w:ascii="Times New Roman" w:hAnsi="Times New Roman"/>
          <w:sz w:val="20"/>
        </w:rPr>
        <w:t xml:space="preserve"> one CVR, collectively, the “Offer Price”), upon the terms and subject to the conditions set forth in this Offer to Purchase and in the related Letter of Transmittal (which, together with this Offer to Purchase, as each may be amended or supplemented from time to time, collectively constitute the “Offer”). </w:t>
      </w:r>
    </w:p>
    <w:p>
      <w:pPr>
        <w:pStyle w:val="TextBody"/>
        <w:bidi w:val="0"/>
        <w:spacing w:before="240" w:after="0"/>
        <w:jc w:val="left"/>
        <w:rPr>
          <w:rFonts w:ascii="Times New Roman" w:hAnsi="Times New Roman"/>
          <w:sz w:val="20"/>
        </w:rPr>
      </w:pPr>
      <w:r>
        <w:rPr>
          <w:rFonts w:ascii="Times New Roman" w:hAnsi="Times New Roman"/>
          <w:sz w:val="20"/>
        </w:rPr>
        <w:t xml:space="preserve">The Offer is being made pursuant to an Agreement and Plan of Merger, dated October 24, 2025 (as it may be amended from time to time, the “Merger Agreement”), by and among Adverum, Lilly and Purchaser, pursuant to which, after consummation of the Offer and subject to the satisfaction or waiver of certain conditions, Purchaser will merge with and into Adverum pursuant to Section 251(h) (“Section 251(h)”) of the General Corporation Law of the State of Delaware (the “DGCL”), upon the terms and subject to the conditions set forth in the Merger Agreement, with Adverum continuing as the surviving corporation (the “Surviving Corporation”) and becoming a direct wholly-owned subsidiary of Lilly (the “Merger”). At the effective time of the Merger (the “Effective Time”), each Share issued and outstanding immediately prior to the Effective Time (other than (i) Shares held in the treasury of Adverum or owned by Adverum, (ii) Shares owned by Lilly, Purchaser or any direct or indirect wholly-owned subsidiary of Lilly or Purchaser or (iii) Shares that are held by stockholders who are entitled to demand and properly exercised and perfected their respective demands for appraisal for such Shares in accordance with Section 262 of the DGCL (“Section 262”) (the “Dissenting Shares”)) will be converted into the right to receive the Offer Price, without interest, from Purchaser (the “Merger Consideration”), less any applicable tax withholding. </w:t>
      </w:r>
    </w:p>
    <w:p>
      <w:pPr>
        <w:pStyle w:val="TextBody"/>
        <w:bidi w:val="0"/>
        <w:spacing w:before="240" w:after="0"/>
        <w:jc w:val="left"/>
        <w:rPr>
          <w:rFonts w:ascii="Times New Roman" w:hAnsi="Times New Roman"/>
          <w:b/>
          <w:sz w:val="20"/>
        </w:rPr>
      </w:pPr>
      <w:r>
        <w:rPr>
          <w:rFonts w:ascii="Times New Roman" w:hAnsi="Times New Roman"/>
          <w:b/>
          <w:sz w:val="20"/>
        </w:rPr>
        <w:t xml:space="preserve">Under no circumstances will interest be paid on the purchase price for the Shares accepted for payment in the Offer, including by reason of any extension of the Offer or any delay in making payment for the Shares.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is more fully described in Section 11 — “The Merger Agreement; Other Agreements —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Tendering stockholders who are holders of record of their Shares and who tender directly to the Depositary (as defined above in the “Summary Term Sheet”) will not be obligated to pay brokerage fees or commissions or, except as otherwise provided in Instruction 6 of the Letter of Transmittal, stock transfer taxes with respect to the purchase of Shares by Purchaser pursuant to the Offer. Stockholders who hold their Shares through a broker, dealer, commercial bank, trust company or other nominee should consult such broker, dealer, commercial bank, trust company or other nominee as to whether it charges any service fees or commissions.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of Adverum (the “Adverum Board”) unanimously (i) determined that the Merger Agreement and the transactions contemplated thereby (the “Transactions”) are advisable, fair to, and in the best interests of, Adverum and the holders of Shares, (ii) duly authorized and approved the execution and delivery of the Merger Agreement, the performance by Adverum of its covenants and other obligations thereunder, and the consummation of the Transactions upon the terms and subject to the conditions set forth therein, (iii) resolved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that the Merger Agreement and the Transactions will be governed by and effected under Section 251(h) and other relevant provisions of the DGCL and (iv) resolved to recommend that Adverum stockholders accept the Offer and tender their Shares pursuant to the Offer. </w:t>
      </w:r>
    </w:p>
    <w:p>
      <w:pPr>
        <w:pStyle w:val="TextBody"/>
        <w:bidi w:val="0"/>
        <w:spacing w:before="240" w:after="0"/>
        <w:jc w:val="left"/>
        <w:rPr>
          <w:rFonts w:ascii="Times New Roman" w:hAnsi="Times New Roman"/>
          <w:b/>
          <w:sz w:val="20"/>
        </w:rPr>
      </w:pPr>
      <w:r>
        <w:rPr>
          <w:rFonts w:ascii="Times New Roman" w:hAnsi="Times New Roman"/>
          <w:b/>
          <w:sz w:val="20"/>
        </w:rPr>
        <w:t xml:space="preserve">Descriptions of the Adverum Board’s reasons for authorizing and approving the Merger Agreement and the consummation of the Transactions are set forth in Adverum’s Solicitation/Recommendation Statement on Schedule 14D-9 (the “Schedule 14D-9”), which is being disseminated to Adverum stockholders together with the Offer materials (including this Offer to Purchase and the related Letter of Transmittal). Stockholders should carefully read the information set forth in the Schedule 14D-9, including the information set forth in Item 4 under the sub-headings “Background of the Offer” and “Reasons for the Recommendation of the Company Board.” </w:t>
      </w:r>
    </w:p>
    <w:p>
      <w:pPr>
        <w:pStyle w:val="TextBody"/>
        <w:bidi w:val="0"/>
        <w:spacing w:before="240" w:after="0"/>
        <w:jc w:val="left"/>
        <w:rPr>
          <w:rFonts w:ascii="Times New Roman" w:hAnsi="Times New Roman"/>
          <w:sz w:val="20"/>
        </w:rPr>
      </w:pPr>
      <w:r>
        <w:rPr>
          <w:rFonts w:ascii="Times New Roman" w:hAnsi="Times New Roman"/>
          <w:sz w:val="20"/>
        </w:rPr>
        <w:t xml:space="preserve">The obligation of Purchaser to accept for payment and pay for Shares validly tendered (and not validly withdrawn) pursuant to the Offer is subject to the satisfaction of, among other conditions the Minimum Tender Condition (as defined below in Section 15 — “Conditions of the Offer”). The Offer also is subject to other conditions as set forth in this Offer to Purchase. See Section 15 — “Conditions of the Offer.” There is no financing condition to the Offer or the Merger. </w:t>
      </w:r>
    </w:p>
    <w:p>
      <w:pPr>
        <w:pStyle w:val="TextBody"/>
        <w:bidi w:val="0"/>
        <w:spacing w:before="240" w:after="0"/>
        <w:jc w:val="left"/>
        <w:rPr>
          <w:rFonts w:ascii="Times New Roman" w:hAnsi="Times New Roman"/>
          <w:sz w:val="20"/>
        </w:rPr>
      </w:pPr>
      <w:r>
        <w:rPr>
          <w:rFonts w:ascii="Times New Roman" w:hAnsi="Times New Roman"/>
          <w:sz w:val="20"/>
        </w:rPr>
        <w:t xml:space="preserve">Adverum has advised Lilly that, at a meeting of the Adverum Board held on October 23, 2025, Aquilo Partners, L.P. (“Aquilo”) rendered to the Adverum Board its oral opinion, which was subsequently confirmed by delivery of a written opinion dated October 23, 2025, that, as of such date and based upon and subject to the assumptions made, procedures followed, matters considered, and qualifications and limitations set forth therein, the Offer Price is fair, from a financial point of view, to the holders of Shares. The full text of Aquilo’s written opinion, dated October 23, 2025, which describes the assumptions made, procedures followed, matters considered, and qualifications and limitations on the review undertaken by Aquilo in preparing its opinion, is attached as Annex A to the Schedule 14D-9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THIS OFFER TO PURCHASE AND THE RELATED LETTER OF TRANSMITTAL CONTAIN IMPORTANT INFORMATION AND SHOULD BE READ CAREFULLY IN THEIR ENTIRETY BEFORE MAKING ANY DECISION WITH RESPECT TO THE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6" w:name="toc67752_3"/>
      <w:bookmarkEnd w:id="6"/>
      <w:r>
        <w:rPr>
          <w:rFonts w:ascii="Times New Roman" w:hAnsi="Times New Roman"/>
          <w:b/>
          <w:sz w:val="20"/>
        </w:rPr>
        <w:t xml:space="preserve">THE TENDER OFFER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bookmarkStart w:id="7" w:name="toc67752_4"/>
            <w:bookmarkEnd w:id="7"/>
            <w:r>
              <w:rPr>
                <w:b/>
              </w:rPr>
              <w:t>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Terms of the Offer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Purchaser is offering to purchase all of the outstanding Shares at the Offer Price. Upon the terms and subject to the conditions of the Offer (including, if the Offer is extended or amended, the terms and conditions of such extension or amendment), we will accept for payment and, promptly after the Expiration Time, pay for all Shares validly tendered prior to the Expiration Time and not validly withdrawn as described in Section 4 — “Withdrawal Rights.” </w:t>
      </w:r>
    </w:p>
    <w:p>
      <w:pPr>
        <w:pStyle w:val="TextBody"/>
        <w:bidi w:val="0"/>
        <w:spacing w:before="240" w:after="0"/>
        <w:jc w:val="left"/>
        <w:rPr>
          <w:rFonts w:ascii="Times New Roman" w:hAnsi="Times New Roman"/>
          <w:sz w:val="20"/>
        </w:rPr>
      </w:pPr>
      <w:r>
        <w:rPr>
          <w:rFonts w:ascii="Times New Roman" w:hAnsi="Times New Roman"/>
          <w:sz w:val="20"/>
        </w:rPr>
        <w:t xml:space="preserve">The Offer is conditioned upon, among other things, the satisfaction of the Minimum Tender Condition and the other conditions described in Section 15 — “Conditions of the Offer.”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contains provisions that govern the circumstances under which Purchaser is required or permitted to extend the Offer. Specifically, the Merger Agreement provides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at the scheduled Expiration Time, any Offer Condition (as defined in Section 15 — “Conditions of the Offer”), other than solely (A) the Minimum Tender Condition, and (B) any such conditions that by their nature are to be satisfied at the Expiration Time, has not been satisfied or waived, Purchaser will extend the Offer for one or more consecutive increments of up to five business days each (or for such longer period as may be agreed to by Lilly and Adverum), until such time as such conditions have been satisfied or waived;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(ii)</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Purchaser will extend the Offer for any period required by any rule, regulation, interpretation or position of the SEC, the staff thereof or Nasdaq applicable to the Offer;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at the scheduled Expiration Time, each Offer Condition (other than the Minimum Tender Condition and any such conditions that by their nature are to be satisfied at the Expiration Time) will have been satisfied or waived and the Minimum Tender Condition will not have been satisfied, Purchaser may elect to (and if so requested by Adverum, Purchaser will) extend the Offer for one or more consecutive increments of such duration as requested by Adverum (or if not so requested, as determined by Purchaser) but not more than five business days each (or for such longer period as may be agreed to by Adverum and Lilly); however, Adverum may not request Purchaser to, and Purchaser will not be required to, extend the Offer on more than two occasions in consecutive periods of five business days each (or such longer or shorter period as may be agreed to by Adverum and Purchaser) pursuant to this clause (iii).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each case, Purchaser is not required to extend the Offer beyond the Outside Date. The “Outside Date” means January 22, 2026, unless otherwise extended by mutual written agreement of Lilly, Purchaser and Adverum. </w:t>
      </w:r>
    </w:p>
    <w:p>
      <w:pPr>
        <w:pStyle w:val="TextBody"/>
        <w:bidi w:val="0"/>
        <w:spacing w:before="240" w:after="0"/>
        <w:jc w:val="left"/>
        <w:rPr>
          <w:rFonts w:ascii="Times New Roman" w:hAnsi="Times New Roman"/>
          <w:sz w:val="20"/>
        </w:rPr>
      </w:pPr>
      <w:r>
        <w:rPr>
          <w:rFonts w:ascii="Times New Roman" w:hAnsi="Times New Roman"/>
          <w:sz w:val="20"/>
        </w:rPr>
        <w:t xml:space="preserve">If we extend the Offer, are delayed in our acceptance of Shares for payment or are unable to accept Shares for payment pursuant to the Offer for any reason, then, without prejudice to our rights under the Offer and the Merger Agreement, the Depositary may retain tendered Shares on our behalf, and such Shares may not be withdrawn except to the extent that tendering stockholders are entitled to withdrawal rights as described in Section 4 — “Withdrawal Rights,” and as otherwise required by Rule 14e-1(c)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Purchaser expressly reserves the right at any time or from time to time, in its sole discretion, to waive any Offer Condition or modify or amend the terms of the Offer, in whole or in part, including the Offer Price, except that Adverum’s prior written consent (which consent will not be unreasonably withheld, conditioned or delayed) is required for Purchaser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decrease the Cash Consideration or amend the terms of the CVRs or the CVR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form of the consideration payable in the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decrease the maximum number of Shares sought pursuant to the Offer;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(iv)</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or waive the Minimum Tender Condition or the Termination Condition (as defined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(v)</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 to or modify the Offer Conditions in a manner adverse to the holders of Shares (as a group in their capacity as such);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(vi)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extend the Expiration Time except as required or expressly permitted by the Merger Agreement or provide any “subsequent offering period” (or any extension thereof) within the meaning of Rule 14d-11 promulgated under the Exchange 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(vii)</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other change in the terms or conditions of the Offer that is adverse in any material respect to the holders of Shares (as a group in their capacity as such).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extension, delay, termination or amendment of the Offer will be followed as promptly as practicable by a public announcement thereof, and such announcement in the case of an extension will be made no later than 9:00 a.m., Eastern Time, on the business day after the previously scheduled Expiration Time. Without limiting the manner in which we may choose to make any public announcement, we intend to make announcements regarding the Offer by issuing a press release and making any appropriate filing with the SEC. </w:t>
      </w:r>
    </w:p>
    <w:p>
      <w:pPr>
        <w:pStyle w:val="TextBody"/>
        <w:bidi w:val="0"/>
        <w:spacing w:before="240" w:after="0"/>
        <w:jc w:val="left"/>
        <w:rPr>
          <w:rFonts w:ascii="Times New Roman" w:hAnsi="Times New Roman"/>
          <w:sz w:val="20"/>
        </w:rPr>
      </w:pPr>
      <w:r>
        <w:rPr>
          <w:rFonts w:ascii="Times New Roman" w:hAnsi="Times New Roman"/>
          <w:sz w:val="20"/>
        </w:rPr>
        <w:t xml:space="preserve">If we make a material change in the terms of the Offer or the information concerning the Offer or if we waive a material condition of the Offer, we will disseminate additional tender offer materials and extend the Offer, in each case, if and to the extent required by Rules 14d-4(d)(1), 14d-6(c) and 14e-1 under the Exchange Act. The minimum period during which the Offer must remain open following material changes in the terms of the Offer or information concerning the Offer, other than a change in price or a change in percentage of securities sought, will depend upon the facts and circumstances, including the relative materiality of the terms or information changes. We understand that in the SEC’s view, an offer should remain open for a minimum of five business days from the date the material change is first published, sent or given to holders of Shares, and with respect to a change in price or a change in the percentage of Shares sought, a minimum of 10 business days is required to allow for adequate dissemination to holders of Shares and investor response. </w:t>
      </w:r>
    </w:p>
    <w:p>
      <w:pPr>
        <w:pStyle w:val="TextBody"/>
        <w:bidi w:val="0"/>
        <w:spacing w:before="240" w:after="0"/>
        <w:jc w:val="left"/>
        <w:rPr>
          <w:rFonts w:ascii="Times New Roman" w:hAnsi="Times New Roman"/>
          <w:sz w:val="20"/>
        </w:rPr>
      </w:pPr>
      <w:r>
        <w:rPr>
          <w:rFonts w:ascii="Times New Roman" w:hAnsi="Times New Roman"/>
          <w:sz w:val="20"/>
        </w:rPr>
        <w:t xml:space="preserve">If, on or before the Expiration Time, we increase the consideration being paid for Shares accepted for payment in the Offer, such increased consideration will be paid to all holders whose Shares are purchased in the Offer, whether or not such Shares were tendered before the announcement of the increase in the consideration. </w:t>
      </w:r>
    </w:p>
    <w:p>
      <w:pPr>
        <w:pStyle w:val="TextBody"/>
        <w:bidi w:val="0"/>
        <w:spacing w:before="240" w:after="0"/>
        <w:jc w:val="left"/>
        <w:rPr>
          <w:rFonts w:ascii="Times New Roman" w:hAnsi="Times New Roman"/>
          <w:sz w:val="20"/>
        </w:rPr>
      </w:pPr>
      <w:r>
        <w:rPr>
          <w:rFonts w:ascii="Times New Roman" w:hAnsi="Times New Roman"/>
          <w:sz w:val="20"/>
        </w:rPr>
        <w:t xml:space="preserve">The obligation of Purchaser to accept for payment, and pay for, all Shares validly tendered and not validly withdrawn pursuant to the Offer is subject to the satisfaction of the Offer Conditions. Notwithstanding any other term of the Offer or the Merger Agreement, Purchaser will not be required to, and Lilly will not be required to cause Purchaser to, accept for payment or, subject to any applicable rules and regulations of the SEC, including Rule 14e-1(c) under the Exchange Act, to pay for any tendered Shares if any of the Offer Conditions has not been satisfied at the scheduled Expiration Time. Under certain circumstances described in the Merger Agreement, Lilly or Adverum may terminate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Adverum has provided us with its stockholder list and security position listings for the purpose of disseminating this Offer to Purchase, the related Letter of Transmittal and other materials related to the Offer to holders of Shares. This Offer to Purchase, the related Letter of Transmittal and other materials related to the Offer, including the Schedule 14D-9, will be mailed to record holders of Shares whose names appear on Adverum’s stockholder list and will be furnished for subsequent transmittal to beneficial owners of Shares to brokers, dealers, commercial banks, trust companies and other nominees whose names, or the names of whose nominees, appear on Adverum’s stockholder list or, if applicable, who are listed as participants in a clearing agency’s security position listing.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bookmarkStart w:id="8" w:name="toc67752_5"/>
            <w:bookmarkEnd w:id="8"/>
            <w:r>
              <w:rPr>
                <w:b/>
              </w:rPr>
              <w:t>2.</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Acceptance for Payment and Payment for Shares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Subject to the terms of the Offer and the Merger Agreement and subject to the satisfaction or waiver of all of the Offer Conditions set forth in Section 15 — “Conditions of the Offer,” we will accept for payment and pay for all Shares validly tendered and not validly withdrawn pursuant to the Offer as promptly as practicable after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scheduled Expiration Time (which will be the next business day after the Expiration Time absent extenuating circumstances and, in any event, will not be more than three business days after the Expiration Time) (the date and time of acceptance for payment, the “Acceptance Time”). We will promptly (and in any event within three business days (calculated as set forth in Rule 14d-1(g)(3) under the Exchange Act)) after the Acceptance Time pay, or cause the paying agent for the Offer to pay, for all Shares validly tendered and not validly withdrawn pursuant to the Offer. Subject to compliance with Rule 14e-1(c) and Rule 14d-11(e) under the Exchange Act, as applicable, and with the Merger Agreement, we expressly reserve the right to delay payment for Shares in order to comply in whole or in part with any applicable law or regulation. See Section 16 — “Certain Legal Matters; Regulatory Approvals.” </w:t>
      </w:r>
    </w:p>
    <w:p>
      <w:pPr>
        <w:pStyle w:val="TextBody"/>
        <w:bidi w:val="0"/>
        <w:spacing w:before="240" w:after="0"/>
        <w:jc w:val="left"/>
        <w:rPr>
          <w:rFonts w:ascii="Times New Roman" w:hAnsi="Times New Roman"/>
          <w:sz w:val="20"/>
        </w:rPr>
      </w:pPr>
      <w:r>
        <w:rPr>
          <w:rFonts w:ascii="Times New Roman" w:hAnsi="Times New Roman"/>
          <w:sz w:val="20"/>
        </w:rPr>
        <w:t xml:space="preserve">In all cases, we will pay for Shares validly tendered and accepted for payment pursuant to the Offer only after timely receipt by the Depositary of (i) to the extent the Shares are not already held with the Depositary, the certificates evidencing such Shares (the “Share Certificates”) or confirmation of a book-entry transfer of such Shares into the Depositary’s account at The Depository Trust Company (“DTC”) (such a confirmation, a “Book-Entry Confirmation”) pursuant to the procedures set forth in Section 3 — “Procedures for Accepting the Offer and Tendering Shares,” (ii) the Letter of Transmittal, properly completed and duly executed, with any required signature guarantees (or, in the case of a book-entry transfer or a tender through DTC’s Automated Tender Offer Program (“ATOP”), an Agent’s Message (as defined below) in lieu of the Letter of Transmittal) and (iii) any other documents required by the Letter of Transmittal or the Depositary, in each case prior to the Expiration Time. Accordingly, tendering stockholders may be paid at different times depending upon when the Share Certificates and Letter of Transmittal, or Book-Entry Confirmations and Agent’s Message, in each case, with respect to Shares that are actually received by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The term “Agent’s Message” means a message transmitted through electronic means by DTC in accordance with the normal procedures of DTC to, and received by, the Depositary and forming part of a Book-Entry Confirmation, that states that DTC has received an express acknowledgment from the participant in DTC tendering the Shares that are the subject of such Book-Entry Confirmation that such participant has received and agrees to be bound by the terms of, the Letter of Transmittal, and that Purchaser may enforce such agreement against such participant. The term “Agent’s Message” also includes any hard copy printout evidencing such message generated by a computer terminal maintained at the Depositary’s office.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Offer, we will be deemed to have accepted for payment, and thereby purchased, Shares validly tendered to Purchaser and not validly withdrawn as, if and when we give oral or written notice to the Depositary of our acceptance for payment of such Shares pursuant to the Offer. Upon the terms and subject to the conditions of the Offer, payment for Shares accepted for payment pursuant to the Offer will be made by deposit of the Cash Consideration for such Shares with the Depositary, which will act as agent for tendering stockholders for the purpose of receiving payments from us and transmitting such payments to tendering stockholders whose Shares have been accepted for payment. If we extend the Offer, are delayed in our acceptance of Shares for payment or are unable to accept Shares for payment pursuant to the Offer for any reason, then, without prejudice to our rights under the Offer and the Merger Agreement, the Depositary may retain tendered Shares on our behalf, and such Shares may not be withdrawn except to the extent that tendering stockholders are entitled to withdrawal rights as described in Section 4 — “Withdrawal Rights.” However, our ability to delay the payment for Shares that we have accepted for payment is limited by Rule 14e-1(c) under the Exchange Act, which requires us to pay the consideration offered or return the securities deposited by or on behalf of stockholders promptly after the termination or withdrawal of the Offer. </w:t>
      </w:r>
      <w:r>
        <w:rPr>
          <w:rFonts w:ascii="Times New Roman" w:hAnsi="Times New Roman"/>
          <w:b/>
          <w:sz w:val="20"/>
        </w:rPr>
        <w:t>Under no circumstances will we pay interest on the Offer Price for Shares accepted for payment in the Offer, including by reason of any extension of the Offer or any delay in making such payment.</w:t>
      </w:r>
    </w:p>
    <w:p>
      <w:pPr>
        <w:pStyle w:val="TextBody"/>
        <w:bidi w:val="0"/>
        <w:spacing w:before="240" w:after="0"/>
        <w:jc w:val="left"/>
        <w:rPr>
          <w:rFonts w:ascii="Times New Roman" w:hAnsi="Times New Roman"/>
          <w:sz w:val="20"/>
        </w:rPr>
      </w:pPr>
      <w:r>
        <w:rPr>
          <w:rFonts w:ascii="Times New Roman" w:hAnsi="Times New Roman"/>
          <w:sz w:val="20"/>
        </w:rPr>
        <w:t xml:space="preserve">At or prior to such time as Purchaser accepts for purchase the Shares tendered in the Offer after the Expiration Time, Lilly will execute the CVR Agreement. Neither Purchaser nor Lilly will be required to deposit any funds related to the CVRs with the Rights Agent unless and until such deposit is required pursuant to the terms of the CVR Agreement. For more information on the CVRs, see Section 11 — “The Merger Agreement; Other Agreements — CVR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any tendered Shares are not accepted for payment pursuant to the terms and conditions of the Offer for any reason, or if Share Certificates are submitted evidencing more Shares than are tendered, Share Certificates representing unpurchased Shares will be promptly returned, without expense to the tendering stockholder (or, in the case of Shares tendered by book-entry transfer into the Depositary’s account at DTC pursuant to the procedure set forth in Section 3 — “Procedures for Accepting the Offer and Tendering Shares,” such Shares will be credited to an account maintained at DTC) following the Expiration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bookmarkStart w:id="9" w:name="toc67752_6"/>
            <w:bookmarkEnd w:id="9"/>
            <w:r>
              <w:rPr>
                <w:b/>
              </w:rPr>
              <w:t>3.</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Procedures for Accepting the Offer and Tendering Shares </w:t>
            </w:r>
          </w:p>
        </w:tc>
      </w:tr>
    </w:tbl>
    <w:p>
      <w:pPr>
        <w:pStyle w:val="TextBody"/>
        <w:bidi w:val="0"/>
        <w:spacing w:before="120" w:after="0"/>
        <w:jc w:val="left"/>
        <w:rPr>
          <w:rFonts w:ascii="Times New Roman" w:hAnsi="Times New Roman"/>
          <w:sz w:val="20"/>
        </w:rPr>
      </w:pPr>
      <w:r>
        <w:rPr>
          <w:rFonts w:ascii="Times New Roman" w:hAnsi="Times New Roman"/>
          <w:i/>
          <w:sz w:val="20"/>
        </w:rPr>
        <w:t>Valid Tenders.</w:t>
      </w:r>
      <w:r>
        <w:rPr>
          <w:rFonts w:ascii="Times New Roman" w:hAnsi="Times New Roman"/>
          <w:sz w:val="20"/>
        </w:rPr>
        <w:t xml:space="preserve"> In order for a stockholder to validly tender Shares pursuant to the Offer, the Letter of Transmittal, properly completed and duly executed, together with any required signature guarantees (or, in the case of a book-entry transfer or a tender through DTC’s ATOP, an Agent’s Message in lieu of the Letter of Transmittal) and any other documents required by the Letter of Transmittal or the Depositary must be received by the Depositary at one of its addresses set forth on the back cover of this Offer to Purchase and, to the extent the Shares are not already held with the Depositary, either (i) in the case of certificated Shares, if any, the Share Certificates evidencing tendered Shares must be received by the Depositary at such address or (ii) in the case of Shares held in book-entry form, such Shares must be tendered pursuant to the procedures for book-entry transfer described below under “Book-Entry Transfer” and a Book-Entry Confirmation must be received by the Depositary, in each case prior to the Expiration Time. </w:t>
      </w:r>
    </w:p>
    <w:p>
      <w:pPr>
        <w:pStyle w:val="TextBody"/>
        <w:bidi w:val="0"/>
        <w:spacing w:before="240" w:after="0"/>
        <w:jc w:val="left"/>
        <w:rPr>
          <w:rFonts w:ascii="Times New Roman" w:hAnsi="Times New Roman"/>
          <w:sz w:val="20"/>
        </w:rPr>
      </w:pPr>
      <w:r>
        <w:rPr>
          <w:rFonts w:ascii="Times New Roman" w:hAnsi="Times New Roman"/>
          <w:i/>
          <w:sz w:val="20"/>
        </w:rPr>
        <w:t>Book-Entry Transfer</w:t>
      </w:r>
      <w:r>
        <w:rPr>
          <w:rFonts w:ascii="Times New Roman" w:hAnsi="Times New Roman"/>
          <w:sz w:val="20"/>
        </w:rPr>
        <w:t xml:space="preserve">. The Depositary will establish an account with respect to the Shares at DTC for purposes of the Offer within two business days after the date of this Offer to Purchase. Any financial institution that is a participant in DTC’s system may make a book-entry delivery of Shares by causing DTC to transfer such Shares into the Depositary’s account at DTC in accordance with DTC’s procedures for such transfer. However, although delivery of Shares may be effected through book-entry transfer at DTC, either the Letter of Transmittal, properly completed and duly executed, together with any required signature guarantees, or an Agent’s Message in lieu of the Letter of Transmittal, and any other required documents, must, in any case, be received by the Depositary at one of its addresses set forth on the back cover of this Offer to Purchase prior to the Expiration Time. Delivery of the Letter of Transmittal or any other documents to DTC does not constitute delivery to the Depositary. </w:t>
      </w:r>
    </w:p>
    <w:p>
      <w:pPr>
        <w:pStyle w:val="TextBody"/>
        <w:bidi w:val="0"/>
        <w:spacing w:before="240" w:after="0"/>
        <w:jc w:val="left"/>
        <w:rPr>
          <w:rFonts w:ascii="Times New Roman" w:hAnsi="Times New Roman"/>
          <w:sz w:val="20"/>
        </w:rPr>
      </w:pPr>
      <w:r>
        <w:rPr>
          <w:rFonts w:ascii="Times New Roman" w:hAnsi="Times New Roman"/>
          <w:i/>
          <w:sz w:val="20"/>
        </w:rPr>
        <w:t>No Guaranteed Delivery</w:t>
      </w:r>
      <w:r>
        <w:rPr>
          <w:rFonts w:ascii="Times New Roman" w:hAnsi="Times New Roman"/>
          <w:sz w:val="20"/>
        </w:rPr>
        <w:t xml:space="preserve">. </w:t>
      </w:r>
      <w:r>
        <w:rPr>
          <w:rFonts w:ascii="Times New Roman" w:hAnsi="Times New Roman"/>
          <w:b/>
          <w:sz w:val="20"/>
        </w:rPr>
        <w:t xml:space="preserve">We are not providing for guaranteed delivery procedures. Therefore, Adverum stockholders must allow sufficient time for the necessary tender procedures to be completed during normal business hours of DTC, which end earlier than the Expiration Time. Normal business hours of DTC are between 8:00 a.m. and 5:00 p.m., Eastern Time, Monday through Friday. Adverum stockholders must tender their Shares in accordance with the procedures set forth in this Offer to Purchase and the related Letter of Transmittal prior to the Expiration Time. Tenders received by the Depositary after the Expiration Time will be disregarded and of no effect. </w:t>
      </w:r>
    </w:p>
    <w:p>
      <w:pPr>
        <w:pStyle w:val="TextBody"/>
        <w:bidi w:val="0"/>
        <w:spacing w:before="240" w:after="0"/>
        <w:jc w:val="left"/>
        <w:rPr>
          <w:rFonts w:ascii="Times New Roman" w:hAnsi="Times New Roman"/>
          <w:sz w:val="20"/>
        </w:rPr>
      </w:pPr>
      <w:r>
        <w:rPr>
          <w:rFonts w:ascii="Times New Roman" w:hAnsi="Times New Roman"/>
          <w:i/>
          <w:sz w:val="20"/>
        </w:rPr>
        <w:t>Signature Guarantees for Shares</w:t>
      </w:r>
      <w:r>
        <w:rPr>
          <w:rFonts w:ascii="Times New Roman" w:hAnsi="Times New Roman"/>
          <w:sz w:val="20"/>
        </w:rPr>
        <w:t xml:space="preserve">. No signature guarantee is required on the Letter of Transmittal (i) if the Letter of Transmittal is signed by the holder(s) of record (which term, for purposes of this Section 3, includes any participant in DTC’s system whose name appears on a security position listing as the owner of the Shares) of the Shares tendered therewith, unless such holder or holders have completed either the box entitled “Special Delivery Instructions” or the box entitled “Special Payment Instructions” on the Letter of Transmittal or (ii) if the Shares are tendered for the account of a financial institution (including most commercial banks, savings and loan associations and brokerage houses) that is a member in good standing of the Security Transfer Agents Medallion Program or any other “eligible guarantor institution,” as such term is defined in Rule 17Ad-15 of the Exchange Act (each, an “Eligible Institution” and collectively, “Eligible Institutions”). In all other cases, all signatures on a Letter of Transmittal must be guaranteed by an Eligible Institution. See Instruction 1 of the Letter of Transmittal. If a Share Certificate is issued in the name of a person or persons other than the signatories of the Letter of Transmittal, or if payment is to be made or delivered to, or a Share Certificate not accepted for payment or not tendered is to be issued in, the name(s) of a person or persons other than the holder(s) of record, then the Share Certificate must be endorsed or accompanied by appropriate duly executed stock powers, in either case signed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exactly as the name(s) of the holder(s) of record that appear on the Share Certificate, with the signature(s) on such Share Certificate or stock powers guaranteed by an Eligible Institution as provided in the Letter of Transmittal. See Instructions 1 and 5 of the Letter of Transmittal.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of this Offer, payment for Shares accepted for payment pursuant to the Offer will in all cases only be made after timely receipt by the Depositary of (i) to the extent the Shares are not already held with the Depositary, the Share Certificates or a Book-Entry Confirmation of such Shares into the Depositary’s account at DTC pursuant to the procedures set forth in this Section 3, (ii) the Letter of Transmittal, properly completed and duly executed, with any required signature guarantees (or, in the case of a book-entry transfer or a tender through DTC’s ATOP, an Agent’s Message in lieu of the Letter of Transmittal) and (iii) any other documents required by the Letter of Transmittal or the Depositary, in each case prior to the Expiration Time. Accordingly, tendering stockholders may be paid at different times depending upon when the Share Certificates and Letter of Transmittal, or Book-Entry Confirmations and Agent’s Message, in each case, with respect to Shares that are actually received by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THE METHOD OF DELIVERY OF THE SHARES (OR SHARE CERTIFICATES, IF ANY), THE LETTER OF TRANSMITTAL, THE AGENT’S MESSAGE AND ALL OTHER REQUIRED DOCUMENTS, INCLUDING DELIVERY THROUGH DTC, IS AT THE ELECTION AND RISK OF THE TENDERING STOCKHOLDER. DELIVERY OF THE SHARES (OR SHARE CERTIFICATES, IF ANY), THE LETTER OF TRANSMITTAL AND ALL OTHER REQUIRED DOCUMENTS WILL BE DEEMED MADE, AND RISK OF LOSS THEREOF WILL PASS, ONLY WHEN THEY ARE ACTUALLY RECEIVED BY THE DEPOSITARY (INCLUDING, IN THE CASE OF A BOOK-ENTRY TRANSFER OF SHARES, BY BOOK-ENTRY CONFIRMATION WITH RESPECT TO SUCH SHARES). IF SUCH DELIVERY IS BY MAIL, IT IS RECOMMENDED THAT THE SHARE CERTIFICATES (IF ANY), THE LETTER OF TRANSMITTAL AND ALL OTHER REQUIRED DOCUMENTS BE SENT BY PROPERLY INSURED REGISTERED MAIL WITH RETURN RECEIPT REQUESTED. IN ALL CASES, SUFFICIENT TIME SHOULD BE ALLOWED TO ENSURE TIMELY DELIVERY PRIOR TO THE EXPIRATION TIME. </w:t>
      </w:r>
    </w:p>
    <w:p>
      <w:pPr>
        <w:pStyle w:val="TextBody"/>
        <w:bidi w:val="0"/>
        <w:spacing w:before="240" w:after="0"/>
        <w:jc w:val="left"/>
        <w:rPr>
          <w:rFonts w:ascii="Times New Roman" w:hAnsi="Times New Roman"/>
          <w:sz w:val="20"/>
        </w:rPr>
      </w:pPr>
      <w:r>
        <w:rPr>
          <w:rFonts w:ascii="Times New Roman" w:hAnsi="Times New Roman"/>
          <w:i/>
          <w:sz w:val="20"/>
        </w:rPr>
        <w:t>Tender Constitutes Binding Agreement</w:t>
      </w:r>
      <w:r>
        <w:rPr>
          <w:rFonts w:ascii="Times New Roman" w:hAnsi="Times New Roman"/>
          <w:sz w:val="20"/>
        </w:rPr>
        <w:t xml:space="preserve">. The tender of Shares pursuant to any of the procedures described above will constitute the tendering stockholder’s acceptance of the Offer, as well as the tendering stockholder’s representation and warranty that such stockholder has the full power and authority to tender and assign the Shares tendered, as specified in the Letter of Transmittal (or, in the case of a book-entry transfer, an Agent’s Message). Our acceptance for payment of Shares tendered pursuant to the Offer will constitute a binding agreement between the tendering stockholder and us upon the terms and subject to the conditions of the Offer. </w:t>
      </w:r>
    </w:p>
    <w:p>
      <w:pPr>
        <w:pStyle w:val="TextBody"/>
        <w:bidi w:val="0"/>
        <w:spacing w:before="240" w:after="0"/>
        <w:jc w:val="left"/>
        <w:rPr>
          <w:rFonts w:ascii="Times New Roman" w:hAnsi="Times New Roman"/>
          <w:sz w:val="20"/>
        </w:rPr>
      </w:pPr>
      <w:r>
        <w:rPr>
          <w:rFonts w:ascii="Times New Roman" w:hAnsi="Times New Roman"/>
          <w:i/>
          <w:sz w:val="20"/>
        </w:rPr>
        <w:t>Determination of Validity</w:t>
      </w:r>
      <w:r>
        <w:rPr>
          <w:rFonts w:ascii="Times New Roman" w:hAnsi="Times New Roman"/>
          <w:sz w:val="20"/>
        </w:rPr>
        <w:t xml:space="preserve">. All questions as to the validity, form, eligibility (including time of receipt) and acceptance for payment of any tender of Shares will be determined by us, in our sole discretion, which determination will be final and binding on all parties, subject to the rights of holders of Shares to challenge such determination with respect to their Shares in a court of competent jurisdiction and any subsequent judgment of any such court. We reserve the absolute right to reject any and all tenders determined by us not to be in proper form or the acceptance for payment of which may, in our opinion, be unlawful. We also reserve the absolute right to waive any defect or irregularity in the tender of any Shares of any particular stockholder, whether or not similar defects or irregularities are waived in the case of other stockholders. No tender of Shares will be deemed to have been validly made until all defects and irregularities have been cured or waived to our satisfaction. None of Purchaser, Lilly or any of their respective affiliates or assigns, the Depositary, the Information Agent or any other person will be under any duty to give any notification of any defects or irregularities in tenders or incur any liability for failure to give any such notification. Subject to the terms of the Merger Agreement and the rights of holders of Shares to challenge any interpretation with respect to their Shares in a court of competent jurisdiction and any subsequent judgment of any such court, our interpretation of the terms and conditions of the Offer (including the Letter of Transmittal and the instructions thereto) will be final and binding.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Appointment as Proxy</w:t>
      </w:r>
      <w:r>
        <w:rPr>
          <w:rFonts w:ascii="Times New Roman" w:hAnsi="Times New Roman"/>
          <w:sz w:val="20"/>
        </w:rPr>
        <w:t xml:space="preserve">. By executing the Letter of Transmittal as set forth above, the tendering stockholder will irrevocably appoint designees of Purchaser as such stockholder’s attorneys-in-fact and proxies in the manner set forth in the Letter of Transmittal, each with full power of substitution, to the full extent of such stockholder’s rights with respect to the Shares tendered by such stockholder and accepted for payment by Purchaser and with respect to any and all other Shares or other securities or rights issued or issuable in respect of such Shares. All such powers of attorney and proxies will be considered irrevocable and coupled with an interest in the tendered Shares. Such appointment will be effective when, and only to the extent that, we accept for payment the Shares tendered by such stockholder as provided herein. Upon such appointment, all prior powers of attorney, proxies and consents given by such stockholder with respect to such Shares or other securities or rights will, without further action, be revoked and no subsequent powers of attorney, proxies, consents or revocations may be given by such stockholder (and, if given, will not be deemed effective). The designees of Purchaser will thereby be empowered to exercise all voting and other rights with respect to such Shares and other securities or rights, including, without limitation, in respect of any annual, special or adjourned meeting of Adverum stockholders, actions by written consent in lieu of any such meeting or otherwise, as they in their sole discretion deem proper. We reserve the right to require that, in order for Shares to be deemed validly tendered, immediately upon our acceptance for payment of such Shares, Purchaser must be able to exercise full voting, consent and other rights with respect to such Shares and other related securities or rights, including voting at any meeting of stockholders of Adverum. </w:t>
      </w:r>
    </w:p>
    <w:p>
      <w:pPr>
        <w:pStyle w:val="TextBody"/>
        <w:bidi w:val="0"/>
        <w:spacing w:before="240" w:after="0"/>
        <w:jc w:val="left"/>
        <w:rPr>
          <w:rFonts w:ascii="Times New Roman" w:hAnsi="Times New Roman"/>
          <w:sz w:val="20"/>
        </w:rPr>
      </w:pPr>
      <w:r>
        <w:rPr>
          <w:rFonts w:ascii="Times New Roman" w:hAnsi="Times New Roman"/>
          <w:i/>
          <w:sz w:val="20"/>
        </w:rPr>
        <w:t>Stock Options, Company RSUs and Company PSUs</w:t>
      </w:r>
      <w:r>
        <w:rPr>
          <w:rFonts w:ascii="Times New Roman" w:hAnsi="Times New Roman"/>
          <w:sz w:val="20"/>
        </w:rPr>
        <w:t xml:space="preserve">. The Offer is being made only for Shares and not for outstanding Company Stock Options, Company RSUs, or Company PSUs. Each Company Cash-Out Stock Option that is outstanding immediately prior to the Effective Time, whether vested or unvested, will be cancelled, and, in exchange therefor, the holder of such cancelled Company Cash-Out Stock Option will receive payment for such Company Cash-Out Stock Options following the Effective Time as provided in the Merger Agreement, subject to applicable tax withholding, without participating in the Offer. Each Out-of-the-Money Option, to the extent not vested, will become fully vested immediately prior to the Effective Time, and Adverum shall permit the holders of Out-of-the-Money Options to exercise such Out-of-the-Money Options prior to the Effective Time on a basis that allows such holders to participate in the Merger with respect to any Shares acquired under such Out-of-the-Money Options as a holder of Shares, with any Out-of-the-Money Options that remain outstanding and unexercised as of the Effective Time cancelled for no consideration at the Effective Time. Each Company RSU that is outstanding and unvested immediately prior to the Effective Time will be cancelled, and, in exchange therefor, the holder of such cancelled Company RSU will receive payment for such Company RSU following the Effective Time as provided in the Merger Agreement, subject to applicable tax withholding, without participating in the Offer. Each Company PSU that is outstanding and unvested immediately prior to the Effective Time will be cancelled, and, in exchange therefor, the holder of such cancelled Company PSU will receive payment (if any) for such Company PSU following the Effective Time as provided in the Merger Agreement, subject to applicable tax withholding, without participating in the Offer. See Section 11 — “The Merger Agreement; Other Agreements — Merger Agreement” for additional information regarding the treatment of outstanding equity awards in the Merger. </w:t>
      </w:r>
    </w:p>
    <w:p>
      <w:pPr>
        <w:pStyle w:val="TextBody"/>
        <w:bidi w:val="0"/>
        <w:spacing w:before="240" w:after="0"/>
        <w:jc w:val="left"/>
        <w:rPr>
          <w:rFonts w:ascii="Times New Roman" w:hAnsi="Times New Roman"/>
          <w:sz w:val="20"/>
        </w:rPr>
      </w:pPr>
      <w:r>
        <w:rPr>
          <w:rFonts w:ascii="Times New Roman" w:hAnsi="Times New Roman"/>
          <w:i/>
          <w:sz w:val="20"/>
        </w:rPr>
        <w:t>Warrants.</w:t>
      </w:r>
      <w:r>
        <w:rPr>
          <w:rFonts w:ascii="Times New Roman" w:hAnsi="Times New Roman"/>
          <w:sz w:val="20"/>
        </w:rPr>
        <w:t xml:space="preserve"> At the Effective Time, each Warrant that is issued and outstanding immediately prior to the Effective Time, unless otherwise elected by the holder of any such Warrant, will be replaced, in accordance with the terms of each Warrant, with a warrant issued by the Surviving Corporation and exercisable for (A) an amount in cash (less applicable tax withholdings pursuant to the Merger Agreement) equal to the product of (1) the total number of Shares in respect of such Warrant; multiplied by (2) the excess, if any, of the Cash Consideration over the per Share exercise price under such Warrant, and (B) one CVR for each Share in respect of such Warrant immediately prior to the Effective Time. In the event that the per share exercise price under any Warrant is equal to or greater than the Merger Consideration, such Warrant will be cancelled as of the Effective Time without payment and have no further force or effect. See Section 11 — “The Merger Agreement; Other Agreements — Merger Agreement” for additional information regarding the treatment of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Information Reporting and Backup Withholding</w:t>
      </w:r>
      <w:r>
        <w:rPr>
          <w:rFonts w:ascii="Times New Roman" w:hAnsi="Times New Roman"/>
          <w:sz w:val="20"/>
        </w:rPr>
        <w:t xml:space="preserve">. Payments made to stockholders of Adverum in the Offer or the Merger generally will be subject to information reporting and may be subject to backup withholding of U.S. federal income tax on payments for Shares made in the Offer or the Merger (currently at a rate of 24%). To avoid backup withholding, any stockholder that is a “United States person” (as defined under Section 7701(a)(30) of the Code) (a “U.S. person”) that does not otherwise establish an exemption from U.S. federal backup withholding should complete and return the Internal Revenue Service (“IRS”) Form W-9 included in the Letter of Transmittal, certifying that such stockholder is a U.S. person, that the taxpayer identification number provided is correct, and that such stockholder is not subject to backup withholding. Any stockholder that is not a U.S. person should submit an IRS Form W-8BEN or IRS Form W-8BEN-E (or other applicable IRS Form W-8) attesting to such stockholder’s exempt foreign status in order to qualify for an exemption from information reporting and backup withholding. Information disclosed on an applicable IRS Form by a stockholder or payee may be disclosed to the local tax authorities of the foreign stockholder under an applicable income tax treaty or an information exchange agreement. Backup withholding is not an additional tax. Any amounts withheld under the backup withholding rules will be allowed as a refund from the IRS or a credit against a stockholder’s U.S. federal income tax liability, if any, provided the required information is timely furnished to the IRS. If backup withholding applies and results in an overpayment of tax, a refund can generally be obtained by the stockholder timely filing a U.S. federal income tax return.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bookmarkStart w:id="10" w:name="toc67752_7"/>
            <w:bookmarkEnd w:id="10"/>
            <w:r>
              <w:rPr>
                <w:b/>
              </w:rPr>
              <w:t>4.</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Withdrawal Rights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Except as otherwise provided in this Section 4, or as provided by applicable law, tenders of Shares made pursuant to the Offer are irrevocable. </w:t>
      </w:r>
    </w:p>
    <w:p>
      <w:pPr>
        <w:pStyle w:val="TextBody"/>
        <w:bidi w:val="0"/>
        <w:spacing w:before="240" w:after="0"/>
        <w:jc w:val="left"/>
        <w:rPr>
          <w:rFonts w:ascii="Times New Roman" w:hAnsi="Times New Roman"/>
          <w:sz w:val="20"/>
        </w:rPr>
      </w:pPr>
      <w:r>
        <w:rPr>
          <w:rFonts w:ascii="Times New Roman" w:hAnsi="Times New Roman"/>
          <w:sz w:val="20"/>
        </w:rPr>
        <w:t xml:space="preserve">Shares tendered pursuant to the Offer may be withdrawn at any time prior to the Expiration Time. Thereafter, tenders are irrevocable, except that if we have not accepted your Shares for payment within 60 days of commencement of the Offer, you may withdraw them at any time after January 6, 2026, the 60th day after commencement of the Offer, until Purchaser accepts your Shares for payment. </w:t>
      </w:r>
    </w:p>
    <w:p>
      <w:pPr>
        <w:pStyle w:val="TextBody"/>
        <w:bidi w:val="0"/>
        <w:spacing w:before="240" w:after="0"/>
        <w:jc w:val="left"/>
        <w:rPr>
          <w:rFonts w:ascii="Times New Roman" w:hAnsi="Times New Roman"/>
          <w:sz w:val="20"/>
        </w:rPr>
      </w:pPr>
      <w:r>
        <w:rPr>
          <w:rFonts w:ascii="Times New Roman" w:hAnsi="Times New Roman"/>
          <w:sz w:val="20"/>
        </w:rPr>
        <w:t xml:space="preserve">For a withdrawal of Shares to be effective, the Depositary must timely receive a written notice of withdrawal at one of its addresses set forth on the back cover of this Offer to Purchase. Any notice of withdrawal must specify the name of the person who tendered the Shares to be withdrawn, the number of Shares to be withdrawn and the names in which the Share Certificates are registered, if different from the person who tendered such Shares. The signature(s) on the notice of withdrawal must be guaranteed by an Eligible Institution, unless such Shares have been tendered for the account of an Eligible Institution. If Shares have been tendered pursuant to the procedures for book-entry transfer as set forth in Section 3 — “Procedures for Accepting the Offer and Tendering Shares,” any notice of withdrawal must specify the name and number of the account at DTC to be credited with the withdrawn Shares. If Share Certificates representing the Shares to be withdrawn have been delivered or otherwise identified to the Depositary, then, prior to the physical release of such Share Certificates, the name of the holder(s) of record and the serial numbers shown on such Share Certificates must also be furnished to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Withdrawals of tenders of Shares may not be rescinded and any Shares validly withdrawn will be deemed not validly tendered for purposes of the Offer. Withdrawn Shares may, however, be retendered by following one of the procedures for tendering Shares described in Section 3 — “Procedures for Accepting the Offer and Tendering Shares” at any time prior to the Expiration Time. </w:t>
      </w:r>
    </w:p>
    <w:p>
      <w:pPr>
        <w:pStyle w:val="TextBody"/>
        <w:bidi w:val="0"/>
        <w:spacing w:before="240" w:after="0"/>
        <w:jc w:val="left"/>
        <w:rPr>
          <w:rFonts w:ascii="Times New Roman" w:hAnsi="Times New Roman"/>
          <w:b/>
          <w:sz w:val="20"/>
        </w:rPr>
      </w:pPr>
      <w:r>
        <w:rPr>
          <w:rFonts w:ascii="Times New Roman" w:hAnsi="Times New Roman"/>
          <w:b/>
          <w:sz w:val="20"/>
        </w:rPr>
        <w:t xml:space="preserve">Purchaser will determine, in its sole discretion, all questions as to the form and validity (including time of receipt) of any notice of withdrawal, and such determination will be final and binding, subject to the rights of holders of Shares to challenge such determination with respect to their Shares in a court of competent jurisdiction and any subsequent judgment of any such court. No withdrawal of Shares will be deemed to have been properly made until all defects and irregularities have been cured or waived. None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Purchaser, Lilly or any of their respective affiliates or assigns, the Depositary, the Information Agent or any other person will be under any duty to give notification of any defects or irregularities in any notice of withdrawal or incur any liability for failure to give such notification.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bookmarkStart w:id="11" w:name="toc67752_8"/>
            <w:bookmarkEnd w:id="11"/>
            <w:r>
              <w:rPr>
                <w:b/>
              </w:rPr>
              <w:t>5.</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Certain Material U.S. Federal Income Tax Consequences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is a discussion of certain material U.S. federal income tax consequences of the Offer and the Merger to Adverum stockholders whose Shares are tendered and accepted for payment pursuant to the Offer or whose Shares are converted into the right to receive cash and CVRs in the Merger. This summary is based on provisions of the Internal Revenue Code of 1986, as amended (the “Code”), U.S. Treasury regulations promulgated thereunder, publishing rulings and administrative pronouncements of the IRS and judicial interpretations thereof, each as available and in effect as of the date of this Offer, and all of which are subject to change or differing interpretations, possibly with retroactive effect. We have not sought, and do not intend to seek, any ruling from the IRS or any opinion of counsel with respect to the statements made and the conclusions reached in the following summary, and no assurance can be given that the IRS will agree with the views expressed herein, or that a court will not sustain any challenge by the IRS in the event of litigation. </w:t>
      </w:r>
    </w:p>
    <w:p>
      <w:pPr>
        <w:pStyle w:val="TextBody"/>
        <w:bidi w:val="0"/>
        <w:spacing w:before="240" w:after="0"/>
        <w:jc w:val="left"/>
        <w:rPr>
          <w:rFonts w:ascii="Times New Roman" w:hAnsi="Times New Roman"/>
          <w:sz w:val="20"/>
        </w:rPr>
      </w:pPr>
      <w:r>
        <w:rPr>
          <w:rFonts w:ascii="Times New Roman" w:hAnsi="Times New Roman"/>
          <w:sz w:val="20"/>
        </w:rPr>
        <w:t xml:space="preserve">This summary applies only to stockholders who hold their Shares as “capital assets” within the meaning of Section 1221 of the Code (generally, property held for investment). This summary does not address all aspects of U.S. federal income taxation that may be relevant to a stockholder in light of its particular circumstances, or that may apply to stockholders subject to special treatment under U.S. federal income tax laws (e.g., regulated investment companies, real estate investment trusts, mutual funds, controlled foreign corporations, passive foreign investment companies, cooperatives, banks and certain other financial institutions, insurance companies, government organizations, tax-exempt organizations, retirement plans or other tax-deferred accounts, a corporation that accumulates earnings to avoid U.S. federal income tax, stockholders that are, or hold Shares through, entities or agreements treated as partnerships or other pass-through entities for U.S. federal income tax purposes, U.S. Holders (as defined below) whose functional currency is not the United States dollar, dealers or brokers in securities or foreign currency, traders that mark-to-market their securities, expatriates and former long-term residents of the United States, Non-U.S. Holders (as defined below) that own or have owned within the past five years (or are deemed to own or have owned within the past five years) 5% or more of the outstanding Shares, stockholders who own (or are deemed to own) stock of Lilly, stockholders holding Shares as part of a straddle, hedging, constructive sale or conversion transaction, stockholders that purchase or sell Shares as part of a wash sale for tax purposes, stockholders holding Shares as qualified small business stock for purposes of Sections 1045 and/or 1202 of the Code, stockholders who exercise their appraisal rights in the Merger, and stockholders who received their Shares in compensatory transactions, pursuant to the exercise of employee stock options, stock purchase rights or stock appreciation rights, as restricted stock or otherwise as compensation). In addition, this discussion does not address any tax consequences related to the Medicare contribution tax on net investment income, any alternative minimum tax, or the special tax accounting rules under Section 451(b) of the Code, nor does it address any tax considerations under state, local or non-U.S. laws or U.S. federal laws other than those pertaining to U.S. federal income tax. </w:t>
      </w:r>
      <w:r>
        <w:rPr>
          <w:rFonts w:ascii="Times New Roman" w:hAnsi="Times New Roman"/>
          <w:b/>
          <w:sz w:val="20"/>
        </w:rPr>
        <w:t>Important Note: If you are a citizen or tax resident or subject to the tax laws of more than one country, you should be aware that there might be additional or different tax consequences that may apply to you.</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summary, the term “U.S. Holder” means a beneficial owner of Shares that, for U.S. federal income tax purposes, is: (i) an individual who is a citizen or resident of the United States; (ii) a corporation, or an entity treated as a corporation for U.S. federal income tax purposes, created or organized under the laws of the United States, any state thereof or the District of Columbia; (iii) an estate, the income of which is subject to U.S. federal income tax regardless of its source; or (iv) a trust, if (A) a United States court is able to exercise primary supervision over the trust’s administration and one or more U.S. persons have authority to control all of the trust’s substantial decisions or (B) the trust has validly elected to be treated as a U.S. person for U.S. federal income tax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purposes of this summary, the term “Non-U.S. Holder” means a beneficial owner of Shares that is not a U.S. Holder and is not a partnership (or other pass-through entity)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or other entity or arrangement treated as a partnership for U.S. federal income tax purposes, holds Shares, the tax treatment of each of its partners or members will generally depend upon the status of such partner or member and such partnership’s activities. Accordingly, partnerships or other entities or arrangements treated as partnerships for U.S. federal income tax purposes that hold Shares, and partners or members in those partnerships or other entities or arrangements, are urged to consult their tax advisors regarding the specific U.S. federal income tax consequences to them of the transactions pursuant to the Offer and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Because individual circumstances may differ, each stockholder should consult its tax advisor as to the applicability and effect of the rules discussed below and the particular tax effects of the Offer and the Merger to it, including the application and effect of the alternative minimum tax, the Medicare contribution tax on net investment income, and any U.S. federal, state, local and non-U.S. tax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Consequences to U.S. Holders </w:t>
      </w:r>
    </w:p>
    <w:p>
      <w:pPr>
        <w:pStyle w:val="TextBody"/>
        <w:bidi w:val="0"/>
        <w:spacing w:before="120" w:after="0"/>
        <w:jc w:val="left"/>
        <w:rPr>
          <w:rFonts w:ascii="Times New Roman" w:hAnsi="Times New Roman"/>
          <w:sz w:val="20"/>
        </w:rPr>
      </w:pPr>
      <w:r>
        <w:rPr>
          <w:rFonts w:ascii="Times New Roman" w:hAnsi="Times New Roman"/>
          <w:sz w:val="20"/>
        </w:rPr>
        <w:t xml:space="preserve">The exchange of Shares pursuant to the Offer or the Merger will be a taxable transaction to a U.S. Holder for U.S. federal income tax purposes. The amount of gain or loss a U.S. Holder recognizes and the timing and potentially the character of a portion of such gain or loss depends in part on the U.S. federal income tax treatment of the CVRs, which is subject to uncertainty. The Receipt of the CVRs pursuant to the Offer or Merger should be treated as either a “closed transaction” or as an “open transaction” for U.S. federal income tax purposes, each as discussed in more detail below. The installment method of reporting any gain attributable to the receipt of a CVR generally will not be available with respect to the disposition of Shares pursuant to the Offer or the Merger because the Shares are traded on an established securities market. There is no legal authority directly addressing the U.S. federal income tax treatment of the receipt of the CVRs in connection with the Offer or the Merger, and the U.S. federal income tax treatment of the CVRs is subject to uncertainty. </w:t>
      </w:r>
    </w:p>
    <w:p>
      <w:pPr>
        <w:pStyle w:val="TextBody"/>
        <w:bidi w:val="0"/>
        <w:spacing w:before="240" w:after="0"/>
        <w:jc w:val="left"/>
        <w:rPr>
          <w:rFonts w:ascii="Times New Roman" w:hAnsi="Times New Roman"/>
          <w:sz w:val="20"/>
        </w:rPr>
      </w:pPr>
      <w:r>
        <w:rPr>
          <w:rFonts w:ascii="Times New Roman" w:hAnsi="Times New Roman"/>
          <w:sz w:val="20"/>
        </w:rPr>
        <w:t xml:space="preserve">Pursuant to U.S. Treasury regulations addressing contingent payment obligations analogous to the CVRs, if the fair market value of the CVRs is “reasonably ascertainable,” a U.S. Holder should treat the transaction as a “closed transaction” and include the fair market value of the CVRs as additional consideration received in the Offer or the Merger for purposes of determining gain or loss. On the other hand, if the fair market value of the CVRs cannot be reasonably ascertained, a U.S. Holder should treat the transaction as an “open transaction” for purposes of determining gain or loss. These U.S. Treasury regulations state that only in “rare and extraordinary” cases would the value of contingent payment obligations not be reasonably ascertainable. There is no authority directly addressing whether contingent payment rights with characteristics similar to the rights under a CVR should be treated as “open transactions” or “closed transactions,” and such question is inherently factual in nature. Accordingly, U.S. Holders are urged to consult their own tax advisors regarding this issue. In addition, it is unclear how a U.S. Holder would recover its adjusted tax basis in a CVR until the resolution of all contingencies under the CVR. Lilly intends to treat a stockholder’s receipt of a CVR pursuant to the Offer or the Merger as the receipt of additional consideration paid in the Offer or the Merger as part of a “closed transaction.” </w:t>
      </w:r>
    </w:p>
    <w:p>
      <w:pPr>
        <w:pStyle w:val="TextBody"/>
        <w:bidi w:val="0"/>
        <w:spacing w:before="240" w:after="0"/>
        <w:jc w:val="left"/>
        <w:rPr>
          <w:rFonts w:ascii="Times New Roman" w:hAnsi="Times New Roman"/>
          <w:sz w:val="20"/>
        </w:rPr>
      </w:pPr>
      <w:r>
        <w:rPr>
          <w:rFonts w:ascii="Times New Roman" w:hAnsi="Times New Roman"/>
          <w:i/>
          <w:sz w:val="20"/>
        </w:rPr>
        <w:t>Treatment as Closed Transaction</w:t>
      </w:r>
      <w:r>
        <w:rPr>
          <w:rFonts w:ascii="Times New Roman" w:hAnsi="Times New Roman"/>
          <w:sz w:val="20"/>
        </w:rPr>
        <w:t xml:space="preserve">. As part of a closed transaction for U.S. federal income tax purposes, a U.S. Holder who sells Shares pursuant to the Offer or receives cash and CVRs in exchange for Shares pursuant to the Merger generally will recognize capital gain or loss for U.S. federal income tax purposes in an amount equal to the difference, if any, between (i) the amount of cash received </w:t>
      </w:r>
      <w:r>
        <w:rPr>
          <w:rFonts w:ascii="Times New Roman" w:hAnsi="Times New Roman"/>
          <w:i/>
          <w:sz w:val="20"/>
        </w:rPr>
        <w:t>plus</w:t>
      </w:r>
      <w:r>
        <w:rPr>
          <w:rFonts w:ascii="Times New Roman" w:hAnsi="Times New Roman"/>
          <w:sz w:val="20"/>
        </w:rPr>
        <w:t xml:space="preserve"> the fair market value (determined as of the closing of the Offer or the Effective Time, as the case may be) of any CVRs received, and (ii) the U.S. Holder’s adjusted tax basis in the Shares sold pursuant to the Offer or converted pursuant to the Merger. The proper method to determine the fair market value of a CVR is not clear, but it is possible that the trading value of the Shares would be considered along with other factors in making that determination. Any capital gain or loss recognized will be long-term capital gain or loss if your holding period for such Shares exceeds one year as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closing of the Offer or the Effective Time, as the case may be. The deductibility of capital losses is subject to limitations. Gain or loss generally will be determined separately for each block of Shares (that is, Shares acquired at the same cost in a single transaction) tendered pursuant to the Offer or exchanged pursuant to the Merger. </w:t>
      </w:r>
    </w:p>
    <w:p>
      <w:pPr>
        <w:pStyle w:val="TextBody"/>
        <w:bidi w:val="0"/>
        <w:spacing w:before="240" w:after="0"/>
        <w:jc w:val="left"/>
        <w:rPr>
          <w:rFonts w:ascii="Times New Roman" w:hAnsi="Times New Roman"/>
          <w:sz w:val="20"/>
        </w:rPr>
      </w:pPr>
      <w:r>
        <w:rPr>
          <w:rFonts w:ascii="Times New Roman" w:hAnsi="Times New Roman"/>
          <w:sz w:val="20"/>
        </w:rPr>
        <w:t xml:space="preserve">A U.S. Holder’s initial tax basis in a CVR received in either the Offer or the Merger would equal the fair market value of such CVR as of the closing of the Offer or the Effective Time, as the case may be, as determined for U.S. federal income tax purposes. The holding period for a CVR would begin on the day following the date of the closing of the Offer or the Effective Time,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Lilly intends to use commercially reasonable efforts to cooperate with the Rights Agent to send to each U.S. Holder an IRS Form 1099-B. Lilly’s determination is not binding on the IRS as to the U.S. Holder’s tax treatment. </w:t>
      </w:r>
    </w:p>
    <w:p>
      <w:pPr>
        <w:pStyle w:val="TextBody"/>
        <w:bidi w:val="0"/>
        <w:spacing w:before="240" w:after="0"/>
        <w:jc w:val="left"/>
        <w:rPr>
          <w:rFonts w:ascii="Times New Roman" w:hAnsi="Times New Roman"/>
          <w:sz w:val="20"/>
        </w:rPr>
      </w:pPr>
      <w:r>
        <w:rPr>
          <w:rFonts w:ascii="Times New Roman" w:hAnsi="Times New Roman"/>
          <w:sz w:val="20"/>
        </w:rPr>
        <w:t xml:space="preserve">As noted above, there is no authority directly addressing the U.S. federal income tax treatment of contingent payment rights with characteristics similar to the rights under the CVRs and, therefore, the amount, timing and character of any gain, income or loss with respect to the CVRs is uncertain. For example, payments with respect to the CVRs could be treated as payments with respect to a sale or exchange of a capital asset or as giving rise to ordinary income. It is also possible that, were a payment to be treated as being with respect to the sale of a capital asset, a portion of such payment would constitute imputed interest, as described below. Lilly intends to treat any payment received by a U.S. Holder in respect of such CVRs (except to the extent any portion of such payment is required to be treated as imputed interest, as described below) as an amount realized on the disposition of all or a portion of the CVR (as applicable) by the U.S. Holder. Assuming that this method of reporting is correct, it may be appropriate for a U.S. Holder to recognize gain or loss equal to the difference between such payment (less any portion of such payment required to be treated as imputed interest, as described below) and the U.S. Holder’s adjusted tax basis in the applicable portion of the CVR, which gain or loss could be long-term capital gain or loss depending on whether the U.S. Holder has held the CVR for more than one year at the time of such payment. Additionally, a U.S. Holder may recognize loss to the extent of any remaining basis after the expiration of any right to cash payments under such U.S. Holder’s CVR. The deductibility of capital losses is subject to limitations. U.S. Holders should consult their tax advisors regarding the tax treatment of the CVRs, including the allocation of a U.S. Holder’s adjusted tax basis among the applicable portions of the CVR. </w:t>
      </w:r>
    </w:p>
    <w:p>
      <w:pPr>
        <w:pStyle w:val="TextBody"/>
        <w:bidi w:val="0"/>
        <w:spacing w:before="240" w:after="0"/>
        <w:jc w:val="left"/>
        <w:rPr>
          <w:rFonts w:ascii="Times New Roman" w:hAnsi="Times New Roman"/>
          <w:sz w:val="20"/>
        </w:rPr>
      </w:pPr>
      <w:r>
        <w:rPr>
          <w:rFonts w:ascii="Times New Roman" w:hAnsi="Times New Roman"/>
          <w:i/>
          <w:sz w:val="20"/>
        </w:rPr>
        <w:t>Treatment as Open Transaction</w:t>
      </w:r>
      <w:r>
        <w:rPr>
          <w:rFonts w:ascii="Times New Roman" w:hAnsi="Times New Roman"/>
          <w:sz w:val="20"/>
        </w:rPr>
        <w:t xml:space="preserve">. If the transaction is treated as an “open transaction” for U.S. federal income tax purposes, the fair market value of the CVRs generally would not be treated as additional consideration for the Shares at the time the CVRs are received in the Offer or the Merger, and the U.S. Holder would have no tax basis in the CVRs. Instead, the U.S. Holder would take payments under the CVRs into account when made or deemed made in accordance with the U.S. Holder’s regular method of accounting for U.S. federal income tax purposes. A portion of such payments may be treated as imputed interest (under Section 483 of the Code), as described below, and the balance, in general, as additional consideration for the disposition of the Shares. Payments of cash pursuant to the Offer or the Merger, </w:t>
      </w:r>
      <w:r>
        <w:rPr>
          <w:rFonts w:ascii="Times New Roman" w:hAnsi="Times New Roman"/>
          <w:i/>
          <w:sz w:val="20"/>
        </w:rPr>
        <w:t>plus</w:t>
      </w:r>
      <w:r>
        <w:rPr>
          <w:rFonts w:ascii="Times New Roman" w:hAnsi="Times New Roman"/>
          <w:sz w:val="20"/>
        </w:rPr>
        <w:t xml:space="preserve"> the portion of payments on the CVRs not treated as imputed interest as described below, will generally first be applied against a U.S. Holder’s adjusted tax basis in the Shares. A U.S. Holder will then generally recognize capital gain to the extent of any cash received pursuant to the Offer or the Merger and the portion of payments received in respect of the CVRs not treated as imputed interest in excess of such U.S. Holder’s adjusted tax basis. A U.S. Holder may be able to recognize capital loss to the extent of any remaining basis after the basis recovery described in the previous sentence, although it is possible that such U.S. Holder may not be able to recognize such loss until the resolution of all contingencies under the CVRs or possibly until such U.S. Holder’s abandonment of the U.S. Holder’s CVRs. Any such capital gain or loss will be long-term if the Shares were held for more than one year prior to the closing of the Offer or the Effective Time, as the case may be. The deductibility of capital losses is subject to certain limitations. Gain or loss generally will be determined separately for each block of Shares (that is, Shares acquired at the same cost in a single transaction) tendered pursuant to the Offer or exchanged pursuant to the Merger. As discussed above, Lilly will not report the CVRs as an open transaction for U.S. federal income tax purposes. U.S. Holders are urged to consult their tax advisors regarding how to accurately report the CVR.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Imputed Interest</w:t>
      </w:r>
      <w:r>
        <w:rPr>
          <w:rFonts w:ascii="Times New Roman" w:hAnsi="Times New Roman"/>
          <w:sz w:val="20"/>
        </w:rPr>
        <w:t xml:space="preserve">. If a Milestone Payment pursuant to a CVR is made more than six months after the closing of the Offer or the Effective Time (as applicable), a portion of the payment may be treated as imputed interest, which would be ordinary income to a U.S. Holder. The portion of any payment made with respect to a CVR treated as imputed interest under Section 483 of the Code will be determined at the time such payment is made and generally should equal the excess of (i) the amount of the payment in respect of the CVRs </w:t>
      </w:r>
      <w:r>
        <w:rPr>
          <w:rFonts w:ascii="Times New Roman" w:hAnsi="Times New Roman"/>
          <w:i/>
          <w:sz w:val="20"/>
        </w:rPr>
        <w:t>over</w:t>
      </w:r>
      <w:r>
        <w:rPr>
          <w:rFonts w:ascii="Times New Roman" w:hAnsi="Times New Roman"/>
          <w:sz w:val="20"/>
        </w:rPr>
        <w:t xml:space="preserve"> (ii) the present value of such amount as of the closing of the Offer or the Effective Time, as the case may be, calculated using the applicable federal rate published by the IRS as the discount rate. A U.S. Holder must include any such imputed interest in its taxable income using such U.S. Holder’s regular method of accounting for U.S. federal income tax purposes.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Consequences to Non-U.S. Holders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discussions under “Information Reporting and Backup Withholding” and “FATCA” below, any gain realized by a Non-U.S. Holder upon the tender of Shares pursuant to the Offer or the exchange of Shares pursuant to the Merger, as the case may be, generally will not be subject to U.S. federal income tax unless (i) the gain is effectively connected with a U.S. trade or business of such Non-U.S. Holder (and, if an applicable income tax treaty so provides, is also attributable to a permanent establishment or fixed base maintained by such Non-U.S. Holder in the United States), in which case the Non-U.S. Holder generally will be taxed on a net income basis generally in the same manner as a U.S. Holder (as described above under “Tax Consequences to U.S. Holders”), except that if the Non-U.S. Holder is a corporation, an additional branch profits tax may apply at a rate of 30% (or a lower applicable treaty rate) on effectively connected earnings and profits (as adjusted for certain items), which will include such gain, or (ii) the Non-U.S. Holder is an individual who is present in the United States for 183 days or more in the taxable year of the closing of the Offer or the Effective Time, as the case may be, and certain other conditions are met, in which case the Non-U.S. Holder may be subject to a 30% U.S. federal income tax (or a tax at a reduced rate under an applicable income tax treaty) on such gain net certain U.S. source capital losses, even though the Non-U.S. Holder is not considered a resident of the United States, provide that such Non-U.S. Holder has timely filed U.S. federal income tax returns with respect to such losses. </w:t>
      </w:r>
    </w:p>
    <w:p>
      <w:pPr>
        <w:pStyle w:val="TextBody"/>
        <w:bidi w:val="0"/>
        <w:spacing w:before="240" w:after="0"/>
        <w:jc w:val="left"/>
        <w:rPr>
          <w:rFonts w:ascii="Times New Roman" w:hAnsi="Times New Roman"/>
          <w:sz w:val="20"/>
        </w:rPr>
      </w:pPr>
      <w:r>
        <w:rPr>
          <w:rFonts w:ascii="Times New Roman" w:hAnsi="Times New Roman"/>
          <w:sz w:val="20"/>
        </w:rPr>
        <w:t xml:space="preserve">Generally, if Milestone Payments are made to a Non-U.S. Holder pursuant to a CVR, such Non-U.S. Holder may be subject to withholding at a rate of 30% (or a lower applicable treaty rate) on such payments, including any portion of any such payments treated as imputed interest (as discussed above under “Tax Consequences to U.S. Holders — Imputed Interest”), unless such Non-U.S. Holder establishes its entitlement to exemption from or a reduced rate of withholding under an applicable tax treaty by providing the appropriate documentation (generally, IRS Form W-8BEN or W-8BEN-E or other applicable IRS Form W-8) to the applicable withholding agent.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Information reporting generally will apply to payments to a stockholder pursuant to the Offer or the Merger (including Milestone Payments made pursuant to a CVR), unless such stockholder is an entity that is exempt from information reporting and, when required, properly demonstrates its eligibility for exemption. In addition, payments with respect to a CVR may be subject to information reporting and backup withholding. Any payment to a U.S. Holder that is subject to information reporting generally will also be subject to backup withholding, unless such U.S. Holder (i) provides the appropriate documentation (generally, IRS Form W-9) to the applicable withholding agent certifying that, among other things, its taxpayer identification number is correct, or otherwise establishes an exemption, and (ii) with respect to payments on the CVRs, provides the Rights Agent with the certification documentation in clause (i) of this sentence or otherwise establishes an exemption from backup withholding. </w:t>
      </w:r>
    </w:p>
    <w:p>
      <w:pPr>
        <w:pStyle w:val="TextBody"/>
        <w:bidi w:val="0"/>
        <w:spacing w:before="240" w:after="0"/>
        <w:jc w:val="left"/>
        <w:rPr>
          <w:rFonts w:ascii="Times New Roman" w:hAnsi="Times New Roman"/>
          <w:sz w:val="20"/>
        </w:rPr>
      </w:pPr>
      <w:r>
        <w:rPr>
          <w:rFonts w:ascii="Times New Roman" w:hAnsi="Times New Roman"/>
          <w:sz w:val="20"/>
        </w:rPr>
        <w:t xml:space="preserve">Tax information provided on IRS Form 1099-B to a U.S. Holder and the IRS for the year of the Offer or the Merger, as applicable, may reflect only the cash amounts paid to the U.S. Holder in the Offer or the Merger, and not the fair market value of the CVRs. Accordingly, a U.S. Holder that treats the Offer or the Merger as a “closed transaction” for U.S. federal income tax purposes may receive an IRS Form 1099-B reporting an amount that is less than the amount such U.S. Holder will realize in the year of the Offer or the Merger, as applicable.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addition, any IRS Form 1099 that a U.S. Holder receives with respect to the Milestone Payments on its CVRs may reflect the entire amount of the Milestone Payments made to the U.S. Holder (other than the amount treated as imputed interest), and therefore may not take into account the fact that the U.S. Holder already included the value of such payments in such U.S. Holder’s amount realized in the year of the Offer or the Merger, as applicable. As a result, U.S. Holders reporting under the “closed transaction” method should not necessarily rely on the amounts reported to them on IRS Forms 1099-B with respect to the Offer or the Merger, as applicable. U.S. Holders are urged to consult their tax advisors regarding how to accurately report their income under the “closed transaction” method.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reporting and backup withholding rules that apply to payments to a stockholder pursuant to the Offer and Merger generally will not apply to payments to a Non-U.S. Holder if such Non-U.S. Holder certifies under penalties of perjury that it is not a U.S. person (generally by providing an IRS Form W-8BEN or W-8BEN-E or other applicable IRS Form W-8) or otherwise establishes an exemption. Non-U.S. Holders should consult their own tax advisors to determine which IRS Form W-8 is appropriate. Information reporting may apply to payments to a Non-U.S. Holder with respect to a CVR, including any portion of such payments treated as imputed interest. </w:t>
      </w:r>
    </w:p>
    <w:p>
      <w:pPr>
        <w:pStyle w:val="TextBody"/>
        <w:bidi w:val="0"/>
        <w:spacing w:before="240" w:after="0"/>
        <w:jc w:val="left"/>
        <w:rPr>
          <w:rFonts w:ascii="Times New Roman" w:hAnsi="Times New Roman"/>
          <w:sz w:val="20"/>
        </w:rPr>
      </w:pPr>
      <w:r>
        <w:rPr>
          <w:rFonts w:ascii="Times New Roman" w:hAnsi="Times New Roman"/>
          <w:sz w:val="20"/>
        </w:rPr>
        <w:t xml:space="preserve">Certain stockholders (including corporations) generally are not subject to backup withholding. Backup withholding is not an additional tax. Any amounts withheld under the backup withholding rules generally will be allowed as a refund or a credit against a U.S. Holder’s U.S. federal income tax liability if the required information is properly and timely furnished by such U.S. Holder to the IRS.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FATCA </w:t>
      </w:r>
    </w:p>
    <w:p>
      <w:pPr>
        <w:pStyle w:val="TextBody"/>
        <w:bidi w:val="0"/>
        <w:spacing w:before="120" w:after="0"/>
        <w:jc w:val="left"/>
        <w:rPr>
          <w:rFonts w:ascii="Times New Roman" w:hAnsi="Times New Roman"/>
          <w:sz w:val="20"/>
        </w:rPr>
      </w:pPr>
      <w:r>
        <w:rPr>
          <w:rFonts w:ascii="Times New Roman" w:hAnsi="Times New Roman"/>
          <w:sz w:val="20"/>
        </w:rPr>
        <w:t xml:space="preserve">Under the “Foreign Account Tax Compliance Act” provisions of the Code, related U.S. Treasury guidance and related intergovernmental agreements (“FATCA”), the applicable withholding agent will be required to withhold tax at a rate of 30% on the portion of payments on the CVRs reported as imputed interest under Section 483 of the Code, or possibly the entire CVR payment depending on the U.S. federal income tax treatment of the receipt of the CVRs, if a Non-U.S. Holder fails to meet prescribed certification requirements. In general, no such withholding will be required with respect to a Non-U.S. Holder that timely provides certifications that establish an exemption from FATCA withholding on an applicable IRS Form W-8. Each Non-U.S. Holder is urged to consult its own tax advisor regarding the application of FATCA with respect to the CVRs in light of such Non-U.S. Holder’s particular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THE FOREGOING SUMMARY DOES NOT DISCUSS ALL ASPECTS OF U.S. FEDERAL INCOME TAXATION THAT MAY BE RELEVANT TO PARTICULAR STOCKHOLDERS. YOU ARE URGED TO CONSULT YOUR TAX ADVISOR REGARDING THE PARTICULAR TAX CONSEQUENCES TO YOU OF THE OFFER OR THE MERGER IN LIGHT OF YOUR PARTICULAR CIRCUMSTANCES, INCLUDING THE APPLICATION AND EFFECT OF ANY FEDERAL, STATE, LOCAL, NON-U.S., OR OTHER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bookmarkStart w:id="12" w:name="toc67752_9"/>
            <w:bookmarkEnd w:id="12"/>
            <w:r>
              <w:rPr>
                <w:b/>
              </w:rPr>
              <w:t>6.</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Price Range of Shares; Dividends on the Shares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Shares trade on Nasdaq under the symbol “ADVM.” Adverum has advised us that, as of November 3, 2025, 22,077,467 Shares were issued and outstanding. The following table sets forth the high and low intraday sale prices per Share for each quarterly period with respect to the periods indicated, as reported by Nasdaq: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72"/>
        <w:gridCol w:w="379"/>
        <w:gridCol w:w="140"/>
        <w:gridCol w:w="561"/>
        <w:gridCol w:w="60"/>
        <w:gridCol w:w="379"/>
        <w:gridCol w:w="140"/>
        <w:gridCol w:w="561"/>
        <w:gridCol w:w="63"/>
      </w:tblGrid>
      <w:tr>
        <w:trPr/>
        <w:tc>
          <w:tcPr>
            <w:tcW w:w="5472" w:type="dxa"/>
            <w:tcBorders/>
            <w:vAlign w:val="center"/>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472"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7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60"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7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63" w:type="dxa"/>
            <w:tcBorders/>
            <w:vAlign w:val="bottom"/>
          </w:tcPr>
          <w:p>
            <w:pPr>
              <w:pStyle w:val="TableContents"/>
              <w:bidi w:val="0"/>
              <w:spacing w:before="0" w:after="283"/>
              <w:jc w:val="left"/>
              <w:rPr/>
            </w:pPr>
            <w:r>
              <w:rPr/>
              <w:t> </w:t>
            </w:r>
          </w:p>
        </w:tc>
      </w:tr>
      <w:tr>
        <w:trPr/>
        <w:tc>
          <w:tcPr>
            <w:tcW w:w="547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2025</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472" w:type="dxa"/>
            <w:tcBorders/>
          </w:tcPr>
          <w:p>
            <w:pPr>
              <w:pStyle w:val="TableContents"/>
              <w:bidi w:val="0"/>
              <w:spacing w:before="0" w:after="0"/>
              <w:jc w:val="left"/>
              <w:rPr>
                <w:rFonts w:ascii="Times New Roman" w:hAnsi="Times New Roman"/>
                <w:sz w:val="20"/>
              </w:rPr>
            </w:pPr>
            <w:r>
              <w:rPr>
                <w:rFonts w:ascii="Times New Roman" w:hAnsi="Times New Roman"/>
                <w:sz w:val="20"/>
              </w:rPr>
              <w:t>Fourth Quarter (through November 6, 2025)</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5.75</w:t>
            </w:r>
          </w:p>
        </w:tc>
        <w:tc>
          <w:tcPr>
            <w:tcW w:w="60"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3.98</w:t>
            </w:r>
          </w:p>
        </w:tc>
        <w:tc>
          <w:tcPr>
            <w:tcW w:w="63" w:type="dxa"/>
            <w:tcBorders/>
            <w:vAlign w:val="bottom"/>
          </w:tcPr>
          <w:p>
            <w:pPr>
              <w:pStyle w:val="TableContents"/>
              <w:bidi w:val="0"/>
              <w:spacing w:before="0" w:after="283"/>
              <w:jc w:val="left"/>
              <w:rPr/>
            </w:pPr>
            <w:r>
              <w:rPr/>
              <w:t> </w:t>
            </w:r>
          </w:p>
        </w:tc>
      </w:tr>
      <w:tr>
        <w:trPr/>
        <w:tc>
          <w:tcPr>
            <w:tcW w:w="54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5.19</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2.11</w:t>
            </w:r>
          </w:p>
        </w:tc>
        <w:tc>
          <w:tcPr>
            <w:tcW w:w="63" w:type="dxa"/>
            <w:tcBorders/>
            <w:shd w:fill="CCEEFF" w:val="clear"/>
            <w:vAlign w:val="bottom"/>
          </w:tcPr>
          <w:p>
            <w:pPr>
              <w:pStyle w:val="TableContents"/>
              <w:bidi w:val="0"/>
              <w:spacing w:before="0" w:after="283"/>
              <w:jc w:val="left"/>
              <w:rPr/>
            </w:pPr>
            <w:r>
              <w:rPr/>
              <w:t> </w:t>
            </w:r>
          </w:p>
        </w:tc>
      </w:tr>
      <w:tr>
        <w:trPr/>
        <w:tc>
          <w:tcPr>
            <w:tcW w:w="5472" w:type="dxa"/>
            <w:tcBorders/>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4.47</w:t>
            </w:r>
          </w:p>
        </w:tc>
        <w:tc>
          <w:tcPr>
            <w:tcW w:w="60"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1.78</w:t>
            </w:r>
          </w:p>
        </w:tc>
        <w:tc>
          <w:tcPr>
            <w:tcW w:w="63" w:type="dxa"/>
            <w:tcBorders/>
            <w:vAlign w:val="bottom"/>
          </w:tcPr>
          <w:p>
            <w:pPr>
              <w:pStyle w:val="TableContents"/>
              <w:bidi w:val="0"/>
              <w:spacing w:before="0" w:after="283"/>
              <w:jc w:val="left"/>
              <w:rPr/>
            </w:pPr>
            <w:r>
              <w:rPr/>
              <w:t> </w:t>
            </w:r>
          </w:p>
        </w:tc>
      </w:tr>
      <w:tr>
        <w:trPr/>
        <w:tc>
          <w:tcPr>
            <w:tcW w:w="54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5.72</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3.52</w:t>
            </w:r>
          </w:p>
        </w:tc>
        <w:tc>
          <w:tcPr>
            <w:tcW w:w="63" w:type="dxa"/>
            <w:tcBorders/>
            <w:shd w:fill="CCEEFF" w:val="clear"/>
            <w:vAlign w:val="bottom"/>
          </w:tcPr>
          <w:p>
            <w:pPr>
              <w:pStyle w:val="TableContents"/>
              <w:bidi w:val="0"/>
              <w:spacing w:before="0" w:after="283"/>
              <w:jc w:val="left"/>
              <w:rPr/>
            </w:pPr>
            <w:r>
              <w:rPr/>
              <w:t> </w:t>
            </w:r>
          </w:p>
        </w:tc>
      </w:tr>
      <w:tr>
        <w:trPr/>
        <w:tc>
          <w:tcPr>
            <w:tcW w:w="5472" w:type="dxa"/>
            <w:tcBorders/>
          </w:tcPr>
          <w:p>
            <w:pPr>
              <w:pStyle w:val="TableContents"/>
              <w:bidi w:val="0"/>
              <w:spacing w:before="0" w:after="0"/>
              <w:jc w:val="left"/>
              <w:rPr>
                <w:rFonts w:ascii="Times New Roman" w:hAnsi="Times New Roman"/>
                <w:b/>
                <w:sz w:val="20"/>
              </w:rPr>
            </w:pPr>
            <w:r>
              <w:rPr>
                <w:rFonts w:ascii="Times New Roman" w:hAnsi="Times New Roman"/>
                <w:b/>
                <w:sz w:val="20"/>
              </w:rPr>
              <w:t>2024</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4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Fourth Quarter</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8.56</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4.580</w:t>
            </w:r>
          </w:p>
        </w:tc>
        <w:tc>
          <w:tcPr>
            <w:tcW w:w="63" w:type="dxa"/>
            <w:tcBorders/>
            <w:shd w:fill="CCEEFF" w:val="clear"/>
            <w:vAlign w:val="bottom"/>
          </w:tcPr>
          <w:p>
            <w:pPr>
              <w:pStyle w:val="TableContents"/>
              <w:bidi w:val="0"/>
              <w:spacing w:before="0" w:after="283"/>
              <w:jc w:val="left"/>
              <w:rPr/>
            </w:pPr>
            <w:r>
              <w:rPr/>
              <w:t> </w:t>
            </w:r>
          </w:p>
        </w:tc>
      </w:tr>
      <w:tr>
        <w:trPr/>
        <w:tc>
          <w:tcPr>
            <w:tcW w:w="5472" w:type="dxa"/>
            <w:tcBorders/>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10.14</w:t>
            </w:r>
          </w:p>
        </w:tc>
        <w:tc>
          <w:tcPr>
            <w:tcW w:w="60"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6.390</w:t>
            </w:r>
          </w:p>
        </w:tc>
        <w:tc>
          <w:tcPr>
            <w:tcW w:w="63" w:type="dxa"/>
            <w:tcBorders/>
            <w:vAlign w:val="bottom"/>
          </w:tcPr>
          <w:p>
            <w:pPr>
              <w:pStyle w:val="TableContents"/>
              <w:bidi w:val="0"/>
              <w:spacing w:before="0" w:after="283"/>
              <w:jc w:val="left"/>
              <w:rPr/>
            </w:pPr>
            <w:r>
              <w:rPr/>
              <w:t> </w:t>
            </w:r>
          </w:p>
        </w:tc>
      </w:tr>
      <w:tr>
        <w:trPr/>
        <w:tc>
          <w:tcPr>
            <w:tcW w:w="54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14.21</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6.380</w:t>
            </w:r>
          </w:p>
        </w:tc>
        <w:tc>
          <w:tcPr>
            <w:tcW w:w="63" w:type="dxa"/>
            <w:tcBorders/>
            <w:shd w:fill="CCEEFF" w:val="clear"/>
            <w:vAlign w:val="bottom"/>
          </w:tcPr>
          <w:p>
            <w:pPr>
              <w:pStyle w:val="TableContents"/>
              <w:bidi w:val="0"/>
              <w:spacing w:before="0" w:after="283"/>
              <w:jc w:val="left"/>
              <w:rPr/>
            </w:pPr>
            <w:r>
              <w:rPr/>
              <w:t> </w:t>
            </w:r>
          </w:p>
        </w:tc>
      </w:tr>
      <w:tr>
        <w:trPr/>
        <w:tc>
          <w:tcPr>
            <w:tcW w:w="5472" w:type="dxa"/>
            <w:tcBorders/>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29.70</w:t>
            </w:r>
          </w:p>
        </w:tc>
        <w:tc>
          <w:tcPr>
            <w:tcW w:w="60"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7.530</w:t>
            </w:r>
          </w:p>
        </w:tc>
        <w:tc>
          <w:tcPr>
            <w:tcW w:w="63" w:type="dxa"/>
            <w:tcBorders/>
            <w:vAlign w:val="bottom"/>
          </w:tcPr>
          <w:p>
            <w:pPr>
              <w:pStyle w:val="TableContents"/>
              <w:bidi w:val="0"/>
              <w:spacing w:before="0" w:after="283"/>
              <w:jc w:val="left"/>
              <w:rPr/>
            </w:pPr>
            <w:r>
              <w:rPr/>
              <w:t> </w:t>
            </w:r>
          </w:p>
        </w:tc>
      </w:tr>
      <w:tr>
        <w:trPr/>
        <w:tc>
          <w:tcPr>
            <w:tcW w:w="547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2023</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472" w:type="dxa"/>
            <w:tcBorders/>
          </w:tcPr>
          <w:p>
            <w:pPr>
              <w:pStyle w:val="TableContents"/>
              <w:bidi w:val="0"/>
              <w:spacing w:before="0" w:after="0"/>
              <w:jc w:val="left"/>
              <w:rPr>
                <w:rFonts w:ascii="Times New Roman" w:hAnsi="Times New Roman"/>
                <w:sz w:val="20"/>
              </w:rPr>
            </w:pPr>
            <w:r>
              <w:rPr>
                <w:rFonts w:ascii="Times New Roman" w:hAnsi="Times New Roman"/>
                <w:sz w:val="20"/>
              </w:rPr>
              <w:t>Fourth Quarter</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14.80</w:t>
            </w:r>
          </w:p>
        </w:tc>
        <w:tc>
          <w:tcPr>
            <w:tcW w:w="60"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7.400</w:t>
            </w:r>
          </w:p>
        </w:tc>
        <w:tc>
          <w:tcPr>
            <w:tcW w:w="63" w:type="dxa"/>
            <w:tcBorders/>
            <w:vAlign w:val="bottom"/>
          </w:tcPr>
          <w:p>
            <w:pPr>
              <w:pStyle w:val="TableContents"/>
              <w:bidi w:val="0"/>
              <w:spacing w:before="0" w:after="283"/>
              <w:jc w:val="left"/>
              <w:rPr/>
            </w:pPr>
            <w:r>
              <w:rPr/>
              <w:t> </w:t>
            </w:r>
          </w:p>
        </w:tc>
      </w:tr>
      <w:tr>
        <w:trPr/>
        <w:tc>
          <w:tcPr>
            <w:tcW w:w="54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23.40</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6.810</w:t>
            </w:r>
          </w:p>
        </w:tc>
        <w:tc>
          <w:tcPr>
            <w:tcW w:w="63" w:type="dxa"/>
            <w:tcBorders/>
            <w:shd w:fill="CCEEFF" w:val="clear"/>
            <w:vAlign w:val="bottom"/>
          </w:tcPr>
          <w:p>
            <w:pPr>
              <w:pStyle w:val="TableContents"/>
              <w:bidi w:val="0"/>
              <w:spacing w:before="0" w:after="283"/>
              <w:jc w:val="left"/>
              <w:rPr/>
            </w:pPr>
            <w:r>
              <w:rPr/>
              <w:t> </w:t>
            </w:r>
          </w:p>
        </w:tc>
      </w:tr>
      <w:tr>
        <w:trPr/>
        <w:tc>
          <w:tcPr>
            <w:tcW w:w="5472" w:type="dxa"/>
            <w:tcBorders/>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16.20</w:t>
            </w:r>
          </w:p>
        </w:tc>
        <w:tc>
          <w:tcPr>
            <w:tcW w:w="60"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6.810</w:t>
            </w:r>
          </w:p>
        </w:tc>
        <w:tc>
          <w:tcPr>
            <w:tcW w:w="63" w:type="dxa"/>
            <w:tcBorders/>
            <w:vAlign w:val="bottom"/>
          </w:tcPr>
          <w:p>
            <w:pPr>
              <w:pStyle w:val="TableContents"/>
              <w:bidi w:val="0"/>
              <w:spacing w:before="0" w:after="283"/>
              <w:jc w:val="left"/>
              <w:rPr/>
            </w:pPr>
            <w:r>
              <w:rPr/>
              <w:t> </w:t>
            </w:r>
          </w:p>
        </w:tc>
      </w:tr>
      <w:tr>
        <w:trPr/>
        <w:tc>
          <w:tcPr>
            <w:tcW w:w="54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8.60</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5.750</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October 23, 2025, the last full day of trading before the public announcement of the execution of the Merger Agreement, the reported closing price of the Shares on Nasdaq was $4.18 per Share. On November 6, 2025, the last full day of trading before commencement of the Offer, the reported closing price of the Shares on Nasdaq was $4.28 per Share. We encourage you to obtain a recent market quotation for the Shares before deciding whether to tender your Shares. </w:t>
      </w:r>
    </w:p>
    <w:p>
      <w:pPr>
        <w:pStyle w:val="TextBody"/>
        <w:bidi w:val="0"/>
        <w:spacing w:before="240" w:after="0"/>
        <w:jc w:val="left"/>
        <w:rPr>
          <w:rFonts w:ascii="Times New Roman" w:hAnsi="Times New Roman"/>
          <w:sz w:val="20"/>
        </w:rPr>
      </w:pPr>
      <w:r>
        <w:rPr>
          <w:rFonts w:ascii="Times New Roman" w:hAnsi="Times New Roman"/>
          <w:sz w:val="20"/>
        </w:rPr>
        <w:t xml:space="preserve">Adverum has never declared or paid cash dividends on the Shares and does not intend to declare or pay cash dividends on the Shares in the foreseeable future.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bookmarkStart w:id="13" w:name="toc67752_10"/>
            <w:bookmarkEnd w:id="13"/>
            <w:r>
              <w:rPr>
                <w:b/>
              </w:rPr>
              <w:t>7.</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Certain Information Concerning Adverum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summary information set forth below is qualified in its entirety by reference to Adverum’s public filings with the SEC (which may be obtained as described below under “Additional Information”) and should be considered in conjunction with the financial and other information in such filings with the SEC and other publicly available information. Neither Lilly nor Purchaser has any knowledge that would indicate that any statements contained in this Offer to Purchase based on such filings and information is untrue. However, neither Lilly nor Purchaser assumes any responsibility for the accuracy or completeness of the information concerning Adverum, whether furnished by Adverum or contained in such filings, or for any failure by Adverum to disclose events that may have occurred or that may affect the significance or accuracy of any such information but which are unknown to Lilly or Purchaser. </w:t>
      </w:r>
    </w:p>
    <w:p>
      <w:pPr>
        <w:pStyle w:val="TextBody"/>
        <w:bidi w:val="0"/>
        <w:spacing w:before="240" w:after="0"/>
        <w:jc w:val="left"/>
        <w:rPr>
          <w:rFonts w:ascii="Times New Roman" w:hAnsi="Times New Roman"/>
          <w:sz w:val="20"/>
        </w:rPr>
      </w:pPr>
      <w:r>
        <w:rPr>
          <w:rFonts w:ascii="Times New Roman" w:hAnsi="Times New Roman"/>
          <w:sz w:val="20"/>
        </w:rPr>
        <w:t xml:space="preserve">Adverum is a clinical-stage company that aims to establish gene therapy as a new standard of care for highly prevalent ocular diseases. Adverum discovers and develops gene therapy product candidates intended to provide durable efficacy by inducing sustained expression of a therapeutic protein. Adverum was incorporated in Delaware on July 17, 2006 and is headquartered in Redwood City, California. The address of Adverum’s principal executive offices and Adverum’s phone number at its principal executive offices are as set forth below: </w:t>
      </w:r>
    </w:p>
    <w:p>
      <w:pPr>
        <w:pStyle w:val="TextBody"/>
        <w:bidi w:val="0"/>
        <w:spacing w:before="120" w:after="0"/>
        <w:jc w:val="left"/>
        <w:rPr>
          <w:rFonts w:ascii="Times New Roman" w:hAnsi="Times New Roman"/>
          <w:sz w:val="20"/>
        </w:rPr>
      </w:pPr>
      <w:r>
        <w:rPr>
          <w:rFonts w:ascii="Times New Roman" w:hAnsi="Times New Roman"/>
          <w:sz w:val="20"/>
        </w:rPr>
        <w:t xml:space="preserve">Adverum Biotechnologies, Inc. </w:t>
      </w:r>
    </w:p>
    <w:p>
      <w:pPr>
        <w:pStyle w:val="TextBody"/>
        <w:bidi w:val="0"/>
        <w:spacing w:before="0" w:after="0"/>
        <w:jc w:val="left"/>
        <w:rPr>
          <w:rFonts w:ascii="Times New Roman" w:hAnsi="Times New Roman"/>
          <w:sz w:val="20"/>
        </w:rPr>
      </w:pPr>
      <w:r>
        <w:rPr>
          <w:rFonts w:ascii="Times New Roman" w:hAnsi="Times New Roman"/>
          <w:sz w:val="20"/>
        </w:rPr>
        <w:t xml:space="preserve">100 Cardinal Way </w:t>
      </w:r>
    </w:p>
    <w:p>
      <w:pPr>
        <w:pStyle w:val="TextBody"/>
        <w:bidi w:val="0"/>
        <w:spacing w:before="0" w:after="0"/>
        <w:jc w:val="left"/>
        <w:rPr>
          <w:rFonts w:ascii="Times New Roman" w:hAnsi="Times New Roman"/>
          <w:sz w:val="20"/>
        </w:rPr>
      </w:pPr>
      <w:r>
        <w:rPr>
          <w:rFonts w:ascii="Times New Roman" w:hAnsi="Times New Roman"/>
          <w:sz w:val="20"/>
        </w:rPr>
        <w:t xml:space="preserve">Redwood City, CA 94063 </w:t>
      </w:r>
    </w:p>
    <w:p>
      <w:pPr>
        <w:pStyle w:val="TextBody"/>
        <w:bidi w:val="0"/>
        <w:spacing w:before="0" w:after="0"/>
        <w:jc w:val="left"/>
        <w:rPr>
          <w:rFonts w:ascii="Times New Roman" w:hAnsi="Times New Roman"/>
          <w:sz w:val="20"/>
        </w:rPr>
      </w:pPr>
      <w:r>
        <w:rPr>
          <w:rFonts w:ascii="Times New Roman" w:hAnsi="Times New Roman"/>
          <w:sz w:val="20"/>
        </w:rPr>
        <w:t xml:space="preserve">(650) 656-9323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Additional Information</w:t>
      </w:r>
      <w:r>
        <w:rPr>
          <w:rFonts w:ascii="Times New Roman" w:hAnsi="Times New Roman"/>
          <w:sz w:val="20"/>
        </w:rPr>
        <w:t xml:space="preserve">. The Shares are registered under the Exchange Act. Accordingly, Adverum is subject to the information and reporting requirements of the Exchange Act and, in accordance therewith, is required to file periodic reports, proxy statements and other information with the SEC relating to its business, financial condition and other matters. Information as of particular dates concerning Adverum’s directors and officers, their compensation (including any equity-based awards granted to them), the principal holders of Adverum’s securities, any material interests of such persons in transactions with Adverum and other matters was disclosed in Adverum’s definitive proxy statement for Adverum’s 2025 Annual Meeting of Stockholders filed with the SEC on April 28, 2025. Such information also will be available in the Schedule 14D-9. The SEC maintains a website on the Internet at www.sec.gov that contains reports, proxy statements and other information regarding registrants, including Adverum, that file electronically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bookmarkStart w:id="14" w:name="toc67752_11"/>
            <w:bookmarkEnd w:id="14"/>
            <w:r>
              <w:rPr>
                <w:b/>
              </w:rPr>
              <w:t>8.</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Certain Information Concerning Lilly and Purchaser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summary information set forth below is qualified in its entirety by reference to Lilly’s public filings with the SEC (which may be obtained as described below under “Additional Information”) and should be considered in conjunction with the more comprehensive financial and other information in such filings with the SEC and other publicly available information. </w:t>
      </w:r>
    </w:p>
    <w:p>
      <w:pPr>
        <w:pStyle w:val="TextBody"/>
        <w:bidi w:val="0"/>
        <w:spacing w:before="240" w:after="0"/>
        <w:jc w:val="left"/>
        <w:rPr>
          <w:rFonts w:ascii="Times New Roman" w:hAnsi="Times New Roman"/>
          <w:sz w:val="20"/>
        </w:rPr>
      </w:pPr>
      <w:r>
        <w:rPr>
          <w:rFonts w:ascii="Times New Roman" w:hAnsi="Times New Roman"/>
          <w:sz w:val="20"/>
        </w:rPr>
        <w:t xml:space="preserve">Purchaser is a Delaware corporation and a direct wholly-owned subsidiary of Lilly, and was formed solely for the purpose of facilitating the acquisition of Adverum by Lilly. Purchaser has not carried on any activities to date, except for activities incidental to its formation and activities undertaken in connection with the Transactions. Upon consummation of the Merger, Purchaser will merge with and into Adverum and will cease to exist, with Adverum surviving the Merger as the Surviving Corporation. The address of Purchaser’s principal executive offices and Purchaser’s phone number at its principal executive offices are as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Flying Tigers Acquisition Corporation </w:t>
      </w:r>
    </w:p>
    <w:p>
      <w:pPr>
        <w:pStyle w:val="TextBody"/>
        <w:bidi w:val="0"/>
        <w:spacing w:before="0" w:after="0"/>
        <w:jc w:val="left"/>
        <w:rPr>
          <w:rFonts w:ascii="Times New Roman" w:hAnsi="Times New Roman"/>
          <w:sz w:val="20"/>
        </w:rPr>
      </w:pPr>
      <w:r>
        <w:rPr>
          <w:rFonts w:ascii="Times New Roman" w:hAnsi="Times New Roman"/>
          <w:sz w:val="20"/>
        </w:rPr>
        <w:t xml:space="preserve">Lilly Corporate Center </w:t>
      </w:r>
    </w:p>
    <w:p>
      <w:pPr>
        <w:pStyle w:val="TextBody"/>
        <w:bidi w:val="0"/>
        <w:spacing w:before="0" w:after="0"/>
        <w:jc w:val="left"/>
        <w:rPr>
          <w:rFonts w:ascii="Times New Roman" w:hAnsi="Times New Roman"/>
          <w:sz w:val="20"/>
        </w:rPr>
      </w:pPr>
      <w:r>
        <w:rPr>
          <w:rFonts w:ascii="Times New Roman" w:hAnsi="Times New Roman"/>
          <w:sz w:val="20"/>
        </w:rPr>
        <w:t xml:space="preserve">Indianapolis, IN 46285 </w:t>
      </w:r>
    </w:p>
    <w:p>
      <w:pPr>
        <w:pStyle w:val="TextBody"/>
        <w:bidi w:val="0"/>
        <w:spacing w:before="0" w:after="0"/>
        <w:jc w:val="left"/>
        <w:rPr>
          <w:rFonts w:ascii="Times New Roman" w:hAnsi="Times New Roman"/>
          <w:sz w:val="20"/>
        </w:rPr>
      </w:pPr>
      <w:r>
        <w:rPr>
          <w:rFonts w:ascii="Times New Roman" w:hAnsi="Times New Roman"/>
          <w:sz w:val="20"/>
        </w:rPr>
        <w:t>(317) 276-2000</w:t>
      </w:r>
    </w:p>
    <w:p>
      <w:pPr>
        <w:pStyle w:val="TextBody"/>
        <w:bidi w:val="0"/>
        <w:spacing w:before="240" w:after="0"/>
        <w:jc w:val="left"/>
        <w:rPr>
          <w:rFonts w:ascii="Times New Roman" w:hAnsi="Times New Roman"/>
          <w:sz w:val="20"/>
        </w:rPr>
      </w:pPr>
      <w:r>
        <w:rPr>
          <w:rFonts w:ascii="Times New Roman" w:hAnsi="Times New Roman"/>
          <w:sz w:val="20"/>
        </w:rPr>
        <w:t xml:space="preserve">Lilly, an Indiana corporation, was incorporated in 1901 to succeed to the drug manufacturing business founded in Indianapolis, Indiana, in 1876 by Colonel Eli Lilly. Lilly discovers, develops, manufactures and markets products in a single business segment — human pharmaceutical products. Lilly manufactures and distributes its products through facilities in the U.S., including Puerto Rico, and in Europe and Asia. The address of Lilly’s principal executive offices and Lilly’s phone number at its principal executive offices are as set forth below: </w:t>
      </w:r>
    </w:p>
    <w:p>
      <w:pPr>
        <w:pStyle w:val="TextBody"/>
        <w:bidi w:val="0"/>
        <w:spacing w:before="120" w:after="0"/>
        <w:jc w:val="left"/>
        <w:rPr>
          <w:rFonts w:ascii="Times New Roman" w:hAnsi="Times New Roman"/>
          <w:sz w:val="20"/>
        </w:rPr>
      </w:pPr>
      <w:r>
        <w:rPr>
          <w:rFonts w:ascii="Times New Roman" w:hAnsi="Times New Roman"/>
          <w:sz w:val="20"/>
        </w:rPr>
        <w:t xml:space="preserve">Eli Lilly and Company </w:t>
      </w:r>
    </w:p>
    <w:p>
      <w:pPr>
        <w:pStyle w:val="TextBody"/>
        <w:bidi w:val="0"/>
        <w:spacing w:before="0" w:after="0"/>
        <w:jc w:val="left"/>
        <w:rPr>
          <w:rFonts w:ascii="Times New Roman" w:hAnsi="Times New Roman"/>
          <w:sz w:val="20"/>
        </w:rPr>
      </w:pPr>
      <w:r>
        <w:rPr>
          <w:rFonts w:ascii="Times New Roman" w:hAnsi="Times New Roman"/>
          <w:sz w:val="20"/>
        </w:rPr>
        <w:t xml:space="preserve">Lilly Corporate Center </w:t>
      </w:r>
    </w:p>
    <w:p>
      <w:pPr>
        <w:pStyle w:val="TextBody"/>
        <w:bidi w:val="0"/>
        <w:spacing w:before="0" w:after="0"/>
        <w:jc w:val="left"/>
        <w:rPr>
          <w:rFonts w:ascii="Times New Roman" w:hAnsi="Times New Roman"/>
          <w:sz w:val="20"/>
        </w:rPr>
      </w:pPr>
      <w:r>
        <w:rPr>
          <w:rFonts w:ascii="Times New Roman" w:hAnsi="Times New Roman"/>
          <w:sz w:val="20"/>
        </w:rPr>
        <w:t xml:space="preserve">Indianapolis, IN 46285 </w:t>
      </w:r>
    </w:p>
    <w:p>
      <w:pPr>
        <w:pStyle w:val="TextBody"/>
        <w:bidi w:val="0"/>
        <w:spacing w:before="0" w:after="0"/>
        <w:jc w:val="left"/>
        <w:rPr>
          <w:rFonts w:ascii="Times New Roman" w:hAnsi="Times New Roman"/>
          <w:sz w:val="20"/>
        </w:rPr>
      </w:pPr>
      <w:r>
        <w:rPr>
          <w:rFonts w:ascii="Times New Roman" w:hAnsi="Times New Roman"/>
          <w:sz w:val="20"/>
        </w:rPr>
        <w:t>(317) 276-2000</w:t>
      </w:r>
    </w:p>
    <w:p>
      <w:pPr>
        <w:pStyle w:val="TextBody"/>
        <w:bidi w:val="0"/>
        <w:spacing w:before="240" w:after="0"/>
        <w:jc w:val="left"/>
        <w:rPr>
          <w:rFonts w:ascii="Times New Roman" w:hAnsi="Times New Roman"/>
          <w:sz w:val="20"/>
        </w:rPr>
      </w:pPr>
      <w:r>
        <w:rPr>
          <w:rFonts w:ascii="Times New Roman" w:hAnsi="Times New Roman"/>
          <w:sz w:val="20"/>
        </w:rPr>
        <w:t xml:space="preserve">The name, citizenship and applicable employment history, as of the date of this Offer to Purchase, of each director and executive officer of Purchaser and Lilly are set forth in Schedule I to this Offer to Purchase. </w:t>
      </w:r>
    </w:p>
    <w:p>
      <w:pPr>
        <w:pStyle w:val="TextBody"/>
        <w:bidi w:val="0"/>
        <w:spacing w:before="240" w:after="0"/>
        <w:jc w:val="left"/>
        <w:rPr>
          <w:rFonts w:ascii="Times New Roman" w:hAnsi="Times New Roman"/>
          <w:sz w:val="20"/>
        </w:rPr>
      </w:pPr>
      <w:r>
        <w:rPr>
          <w:rFonts w:ascii="Times New Roman" w:hAnsi="Times New Roman"/>
          <w:sz w:val="20"/>
        </w:rPr>
        <w:t xml:space="preserve">Except as set forth in Schedule I to this Offer to Purchase, during the last five years, none of Purchaser or Lilly, or, to the best knowledge of Purchaser and Lilly after due inquiry, any of the persons listed in Schedule I to this Offer to Purchase, (i) has been convicted in a criminal proceeding (excluding traffic violations or similar misdemeanors) or (ii) was a party to any judicial or administrative proceeding (except for matters that were dismissed without sanction or settlement) that resulted in a judgment, decree or final order enjoining the person from future violations of, or prohibiting activities subject to, federal or state securities laws, or a finding of any violation of federal or state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None of Lilly, Purchaser or their respective associates or affiliates beneficially owned any Shares. </w:t>
      </w:r>
    </w:p>
    <w:p>
      <w:pPr>
        <w:pStyle w:val="TextBody"/>
        <w:bidi w:val="0"/>
        <w:spacing w:before="240" w:after="0"/>
        <w:jc w:val="left"/>
        <w:rPr>
          <w:rFonts w:ascii="Times New Roman" w:hAnsi="Times New Roman"/>
          <w:sz w:val="20"/>
        </w:rPr>
      </w:pPr>
      <w:r>
        <w:rPr>
          <w:rFonts w:ascii="Times New Roman" w:hAnsi="Times New Roman"/>
          <w:sz w:val="20"/>
        </w:rPr>
        <w:t xml:space="preserve">Except as set forth above or elsewhere in this Offer to Purchase or Schedule I to this Offer to Purchase: (i) none of Purchaser, Lilly or, to the best knowledge of Purchaser and Lilly after due inquiry, the persons listed in Schedule I hereto beneficially owns or has a right to acquire any Shares or any other equity securities of Adverum; (ii) none of Purchaser, Lilly or, to the best knowledge of Purchaser and Lilly after due inquiry, the persons referred to in clause (i) above has effected any transaction with respect to the Shares or any other equity securities of Adverum during the past 60 days; (iii) none of Purchaser, Lilly or, to the best knowledge of Purchaser and Lilly after due inquiry, the persons listed in Schedule I to this Offer to Purchase has any contract, arrangement, understanding or relationship with any other person with respect to any securities of Adverum (including any contract, arrangement, understanding or relationship concerning the transfer or the voting of any such securities, joint ventures, loan or option arrangements, puts or calls, guaranties of loans, guaranties against loss or the giving or withholding of proxies, consents or authorizations); (iv) during the two years before the date of this Offer to Purchase, there have been no transactions between any of Purchaser, Lilly, their subsidiaries or, to the best knowledge of Purchaser and Lilly after due inquiry, any of the persons listed in Schedule I to this Offer to Purchase, on the one hand, and Adverum or any of its executive officers, directors or affiliates, on the other hand, that would be required to be disclosed on the Tender Offer Statement on Schedule TO, to which this Offer to Purchase and the related Letter of Transmittal are filed as exhibits (the “Schedule TO”) under SEC rules and regulations; and (v) during the two years before the date of this Offer to Purchase, there have been no material contacts, negotiations or transactions between Purchaser, Lilly, their subsidiaries or, to the best knowledge of Purchaser and Lilly after due inquiry, any of the persons listed in Schedule I to this Offer to Purchase, on the one hand, and Adverum or any of its affiliates, on the other hand, concerning a merger, consolidation or acquisition, a tender offer for or other acquisition of Adverum’s securities, an election of Adverum’s directors or a sale or other transfer of a material amount of Adverum’s assets. </w:t>
      </w:r>
    </w:p>
    <w:p>
      <w:pPr>
        <w:pStyle w:val="TextBody"/>
        <w:bidi w:val="0"/>
        <w:spacing w:before="240" w:after="0"/>
        <w:jc w:val="left"/>
        <w:rPr>
          <w:rFonts w:ascii="Times New Roman" w:hAnsi="Times New Roman"/>
          <w:sz w:val="20"/>
        </w:rPr>
      </w:pPr>
      <w:r>
        <w:rPr>
          <w:rFonts w:ascii="Times New Roman" w:hAnsi="Times New Roman"/>
          <w:i/>
          <w:sz w:val="20"/>
        </w:rPr>
        <w:t>Additional Information</w:t>
      </w:r>
      <w:r>
        <w:rPr>
          <w:rFonts w:ascii="Times New Roman" w:hAnsi="Times New Roman"/>
          <w:sz w:val="20"/>
        </w:rPr>
        <w:t xml:space="preserve">. Lilly is subject to the information and reporting requirements of the Exchange Act, and in accordance therewith, is required to file periodic reports, proxy statements and other information with the SEC relating to its business, its financial condition, information as of particular dates concerning Lilly’s directors and officers, information as of particular dates concerning the principal holders of Lilly’s securities and any material interests of such persons in transactions with Lilly. The SEC maintains a website at www.sec.gov that contains reports, proxy statements and other information regarding registrants, including Lilly, that file electronically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bookmarkStart w:id="15" w:name="toc67752_12"/>
            <w:bookmarkEnd w:id="15"/>
            <w:r>
              <w:rPr>
                <w:b/>
              </w:rPr>
              <w:t>9.</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Source and Amount of Funds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Offer is not conditioned upon Lilly’s or Purchaser’s ability to finance or fund the purchase of Shares pursuant to the Offer. We estimate that we will need approximately $100 million in cash to purchase all of the Shares pursuant to the Offer and to complete the Merger. Lilly will provide us with sufficient funds to purchase all Shares validly tendered (and not validly withdrawn) in the Offer. In addition, Lilly will need approximately $250 million to pay the maximum aggregate amount that holders of CVRs could be entitled to receive under the CVR Agreement, of which approximately $50 million is payable if the First Milestone is achieved and approximately $200 million is payable if the Second Milestone is achieved. Lilly has or will have available to it, through a variety of sources, including cash on hand and borrowings at prevailing market interest rates under Lilly’s commercial paper program, proceeds from any debt issuance that may be undertaken by Lilly, or a combination of the foregoing, funds necessary to satisfy all of Purchaser’s payment obligations under the Merger Agreement and resulting from the Transactions. As of September 30, 2025, Lilly had approximately $9.79 billion in cash and cash equivalents on hand. In the event that Lilly determines to issue commercial paper or other debt in connection with the purchase of Shares pursuant to the Offer and to complete the Merger, such commercial paper or other debt will be issued on terms determined by the market at the time of each such issuance, the maturities of such commercial paper or other debt, and Lilly’s ratings. </w:t>
      </w:r>
    </w:p>
    <w:p>
      <w:pPr>
        <w:pStyle w:val="TextBody"/>
        <w:bidi w:val="0"/>
        <w:spacing w:before="240" w:after="0"/>
        <w:jc w:val="left"/>
        <w:rPr>
          <w:rFonts w:ascii="Times New Roman" w:hAnsi="Times New Roman"/>
          <w:sz w:val="20"/>
        </w:rPr>
      </w:pPr>
      <w:r>
        <w:rPr>
          <w:rFonts w:ascii="Times New Roman" w:hAnsi="Times New Roman"/>
          <w:sz w:val="20"/>
        </w:rPr>
        <w:t xml:space="preserve">While, for the reasons stated above, we do not believe our financial condition to be relevant to your decision to tender your Shares, you should consider the fact that Lilly’s future financial condition could deteriorate such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Lilly would not have the necessary cash or cash equivalents to pay, or cause to be paid, the Milestone Payments if and when due. Furthermore, you should also consider the fact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of CVRs will have no greater rights against Lilly or the Surviving Corporation than those accorded to general unsecured creditors of Lilly or the Surviving Corporation, as applicable, under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CVRs will be effectively subordinated in right of payment to all of Lilly’s and the Surviving Corporation’s secured obligations, if any, to the extent of the collateral securing such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(iii)</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CVRs will be effectively subordinated in right of payment to all existing and future indebtedness, claims of holders of capital stock and other liabilities, including trade payables, of Lilly’s subsidiaries (other than the Surviving Corporation);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(iv)</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filing of a bankruptcy petition by or on behalf of Lilly or the Surviving Corporation may prevent Lilly or the Surviving Corporation from making some or all payments that may become payable with respect to the CVRs.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bookmarkStart w:id="16" w:name="toc67752_13"/>
            <w:bookmarkEnd w:id="16"/>
            <w:r>
              <w:rPr>
                <w:b/>
              </w:rPr>
              <w:t>10.</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Background of the Offer; Past Contacts or Negotiations with Adverum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Background of the Offer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description of contacts between representatives of Lilly and Adverum that resulted in the execution of the Merger Agreement and the agreements related to the Offer. For a review of Adverum’s additional activities, please refer to the Schedule 14D-9 that will be filed by Adverum with the SEC and mailed to Adverum stockholders.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business and to supplement its research and development activities, Lilly regularly evaluates business development opportunities, including strategic acquisitions and licensing, partnership and collaboration opportunities. </w:t>
      </w:r>
    </w:p>
    <w:p>
      <w:pPr>
        <w:pStyle w:val="TextBody"/>
        <w:bidi w:val="0"/>
        <w:spacing w:before="240" w:after="0"/>
        <w:jc w:val="left"/>
        <w:rPr>
          <w:rFonts w:ascii="Times New Roman" w:hAnsi="Times New Roman"/>
          <w:sz w:val="20"/>
        </w:rPr>
      </w:pPr>
      <w:r>
        <w:rPr>
          <w:rFonts w:ascii="Times New Roman" w:hAnsi="Times New Roman"/>
          <w:sz w:val="20"/>
        </w:rPr>
        <w:t xml:space="preserve">On October 10, 2023, at the annual Alliance for Regenerative Medicine Meeting on the Mesa, in Carlsbad, CA, representatives of Lilly had a discussion with members of Adverum senior management regarding Adverum and its pipeline. </w:t>
      </w:r>
    </w:p>
    <w:p>
      <w:pPr>
        <w:pStyle w:val="TextBody"/>
        <w:bidi w:val="0"/>
        <w:spacing w:before="240" w:after="0"/>
        <w:jc w:val="left"/>
        <w:rPr>
          <w:rFonts w:ascii="Times New Roman" w:hAnsi="Times New Roman"/>
          <w:sz w:val="20"/>
        </w:rPr>
      </w:pPr>
      <w:r>
        <w:rPr>
          <w:rFonts w:ascii="Times New Roman" w:hAnsi="Times New Roman"/>
          <w:sz w:val="20"/>
        </w:rPr>
        <w:t xml:space="preserve">On February 5, 2024, Adverum announced agreements to raise $127.8 million in gross proceeds from the sale of common shares and pre-funded warrants to purchase common shares to certain institutional and accredited investors in a private placement. Adverum announced that it expected the proceeds from this financing, combined with cash, cash equivalents and marketable securities on hand, to fund its operations into late 2025. </w:t>
      </w:r>
    </w:p>
    <w:p>
      <w:pPr>
        <w:pStyle w:val="TextBody"/>
        <w:bidi w:val="0"/>
        <w:spacing w:before="240" w:after="0"/>
        <w:jc w:val="left"/>
        <w:rPr>
          <w:rFonts w:ascii="Times New Roman" w:hAnsi="Times New Roman"/>
          <w:sz w:val="20"/>
        </w:rPr>
      </w:pPr>
      <w:r>
        <w:rPr>
          <w:rFonts w:ascii="Times New Roman" w:hAnsi="Times New Roman"/>
          <w:sz w:val="20"/>
        </w:rPr>
        <w:t xml:space="preserve">On July 18, 2024, representatives of Aquilo contacted representatives of Lilly to inquire about Lilly’s interest in potential partnering transactions. </w:t>
      </w:r>
    </w:p>
    <w:p>
      <w:pPr>
        <w:pStyle w:val="TextBody"/>
        <w:bidi w:val="0"/>
        <w:spacing w:before="240" w:after="0"/>
        <w:jc w:val="left"/>
        <w:rPr>
          <w:rFonts w:ascii="Times New Roman" w:hAnsi="Times New Roman"/>
          <w:sz w:val="20"/>
        </w:rPr>
      </w:pPr>
      <w:r>
        <w:rPr>
          <w:rFonts w:ascii="Times New Roman" w:hAnsi="Times New Roman"/>
          <w:sz w:val="20"/>
        </w:rPr>
        <w:t xml:space="preserve">Also on July 18, 2024, representatives of Lilly, in a discussion with representatives of Aquilo, expressed an interest in exploring a potential partnering transaction involving Ixo-vec. Lilly did not indicate at this time that it was interested in pursuing an acquisition of Adverum, nor did Adverum solicit any interest in an acquisition transaction. </w:t>
      </w:r>
    </w:p>
    <w:p>
      <w:pPr>
        <w:pStyle w:val="TextBody"/>
        <w:bidi w:val="0"/>
        <w:spacing w:before="240" w:after="0"/>
        <w:jc w:val="left"/>
        <w:rPr>
          <w:rFonts w:ascii="Times New Roman" w:hAnsi="Times New Roman"/>
          <w:sz w:val="20"/>
        </w:rPr>
      </w:pPr>
      <w:r>
        <w:rPr>
          <w:rFonts w:ascii="Times New Roman" w:hAnsi="Times New Roman"/>
          <w:sz w:val="20"/>
        </w:rPr>
        <w:t xml:space="preserve">From this time through November 2024, Lilly and Adverum and their respective representatives engaged in a number of discussions and Adverum provided publicly available information requested by Lilly in order to facilitate Lilly’s evaluation of Ixo-vec. </w:t>
      </w:r>
    </w:p>
    <w:p>
      <w:pPr>
        <w:pStyle w:val="TextBody"/>
        <w:bidi w:val="0"/>
        <w:spacing w:before="240" w:after="0"/>
        <w:jc w:val="left"/>
        <w:rPr>
          <w:rFonts w:ascii="Times New Roman" w:hAnsi="Times New Roman"/>
          <w:sz w:val="20"/>
        </w:rPr>
      </w:pPr>
      <w:r>
        <w:rPr>
          <w:rFonts w:ascii="Times New Roman" w:hAnsi="Times New Roman"/>
          <w:sz w:val="20"/>
        </w:rPr>
        <w:t xml:space="preserve">On November 4, 2024, Lilly entered into a confidentiality agreement with Adverum. Following that time through January 27, 2025, representatives of Lilly and Adverum had a number of due diligence discussions relating to Ixo-vec, and Adverum made available certain non-public information to Lilly via a virtual data room.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January 14, 2025, at the annual J.P. Morgan Healthcare Conference in San Francisco, California, representatives of Lilly met with members of Adverum senior management met. </w:t>
      </w:r>
    </w:p>
    <w:p>
      <w:pPr>
        <w:pStyle w:val="TextBody"/>
        <w:bidi w:val="0"/>
        <w:spacing w:before="240" w:after="0"/>
        <w:jc w:val="left"/>
        <w:rPr>
          <w:rFonts w:ascii="Times New Roman" w:hAnsi="Times New Roman"/>
          <w:sz w:val="20"/>
        </w:rPr>
      </w:pPr>
      <w:r>
        <w:rPr>
          <w:rFonts w:ascii="Times New Roman" w:hAnsi="Times New Roman"/>
          <w:sz w:val="20"/>
        </w:rPr>
        <w:t xml:space="preserve">Following the J.P. Morgan Healthcare Conference meeting through the end of January, Lilly participated in a number of discussions with members of Adverum senior management. </w:t>
      </w:r>
    </w:p>
    <w:p>
      <w:pPr>
        <w:pStyle w:val="TextBody"/>
        <w:bidi w:val="0"/>
        <w:spacing w:before="240" w:after="0"/>
        <w:jc w:val="left"/>
        <w:rPr>
          <w:rFonts w:ascii="Times New Roman" w:hAnsi="Times New Roman"/>
          <w:sz w:val="20"/>
        </w:rPr>
      </w:pPr>
      <w:r>
        <w:rPr>
          <w:rFonts w:ascii="Times New Roman" w:hAnsi="Times New Roman"/>
          <w:sz w:val="20"/>
        </w:rPr>
        <w:t xml:space="preserve">On January 27, 2025, during a call between members of Lilly’s business development team and representatives of Adverum senior management, the Lilly representatives expressed interest in further exploring a partnering transaction and continuing Lilly’s due diligence. From this time through July 15, 2025, representatives of Lilly, members of Adverum senior management and representatives of Aquilo engaged in regular discussions to facilitate Lilly’s due diligence investigation of Ixo-vec and related process matters. </w:t>
      </w:r>
    </w:p>
    <w:p>
      <w:pPr>
        <w:pStyle w:val="TextBody"/>
        <w:bidi w:val="0"/>
        <w:spacing w:before="240" w:after="0"/>
        <w:jc w:val="left"/>
        <w:rPr>
          <w:rFonts w:ascii="Times New Roman" w:hAnsi="Times New Roman"/>
          <w:sz w:val="20"/>
        </w:rPr>
      </w:pPr>
      <w:r>
        <w:rPr>
          <w:rFonts w:ascii="Times New Roman" w:hAnsi="Times New Roman"/>
          <w:sz w:val="20"/>
        </w:rPr>
        <w:t xml:space="preserve">On May 21, 2025, during a call between representatives of Lilly and members of Adverum senior management, Lilly and Adverum discussed potential transaction structures. After discussion, both parties agreed to pursue a partnering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July 15, 2025, Lilly sent Adverum a short-form non-binding proposal providing for an exclusive worldwide license to develop and commercialize Ixo-vec, the terms of which included (i) an upfront payment of $25 million in cash; (ii) up to an additional $470 million in contingent cash payments; (iii) development cost sharing, with Lilly paying 70% and Adverum paying 30% of U.S. development costs and Lilly responsible for all ex-U.S. costs; and (iv) certain regulatory and sales-based milestones and tiered sales-based royalties. Later that day, representatives of Lilly informed members of Adverum senior management that Lilly was committed to begin drafting definitive agreements for the partnering transaction immediately in order to facilitate prompt execution. </w:t>
      </w:r>
    </w:p>
    <w:p>
      <w:pPr>
        <w:pStyle w:val="TextBody"/>
        <w:bidi w:val="0"/>
        <w:spacing w:before="240" w:after="0"/>
        <w:jc w:val="left"/>
        <w:rPr>
          <w:rFonts w:ascii="Times New Roman" w:hAnsi="Times New Roman"/>
          <w:sz w:val="20"/>
        </w:rPr>
      </w:pPr>
      <w:r>
        <w:rPr>
          <w:rFonts w:ascii="Times New Roman" w:hAnsi="Times New Roman"/>
          <w:sz w:val="20"/>
        </w:rPr>
        <w:t xml:space="preserve">On July 16, 2025, members of Adverum senior management held a call with representatives of Lilly, during which representatives of Lilly stated they were open to including certain Phase 3 costs incurred by Adverum prior to the execution of the proposed license agreement being subject to cost sharing, subject to required internal reviews, and noted that they would consider Adverum’s proposal for the quantum of such cost sharing. </w:t>
      </w:r>
    </w:p>
    <w:p>
      <w:pPr>
        <w:pStyle w:val="TextBody"/>
        <w:bidi w:val="0"/>
        <w:spacing w:before="240" w:after="0"/>
        <w:jc w:val="left"/>
        <w:rPr>
          <w:rFonts w:ascii="Times New Roman" w:hAnsi="Times New Roman"/>
          <w:sz w:val="20"/>
        </w:rPr>
      </w:pPr>
      <w:r>
        <w:rPr>
          <w:rFonts w:ascii="Times New Roman" w:hAnsi="Times New Roman"/>
          <w:sz w:val="20"/>
        </w:rPr>
        <w:t xml:space="preserve">On July 31, 2025, Lilly sent a long-form non-binding term sheet for a licensing transaction to Adverum, the terms of which were consistent with the terms proposed in the short-form proposal sent by Lilly on July 15, 2025. The term sheet provided for an exclusive worldwide license to exploit Ixo-vec and included the following terms, among others: (i) an upfront payment of $25 million in cash; (ii) up to an additional $470 million in contingent cash payments, payable upon achievement of four specified development milestones and four specified sales-based milestones; (iii) tiered royalties on net sales of the licensed product in the U.S. and ex-U.S.; (iv) Adverum would be responsible for any payments under third-party licenses; and(v) cost sharing for any development activities in the U.S., with Lilly paying 70% and Adverum paying 30%, and with Lilly to be responsible for all costs ex-U.S. </w:t>
      </w:r>
    </w:p>
    <w:p>
      <w:pPr>
        <w:pStyle w:val="TextBody"/>
        <w:bidi w:val="0"/>
        <w:spacing w:before="240" w:after="0"/>
        <w:jc w:val="left"/>
        <w:rPr>
          <w:rFonts w:ascii="Times New Roman" w:hAnsi="Times New Roman"/>
          <w:sz w:val="20"/>
        </w:rPr>
      </w:pPr>
      <w:r>
        <w:rPr>
          <w:rFonts w:ascii="Times New Roman" w:hAnsi="Times New Roman"/>
          <w:sz w:val="20"/>
        </w:rPr>
        <w:t xml:space="preserve">On August 3, 2025, Adverum delivered to Lilly a revised long-form term sheet for a licensing transaction which largely accepted the Lilly proposal subject to certain changes relating to the scope of the license and certain cost and expense sharing provisions. </w:t>
      </w:r>
    </w:p>
    <w:p>
      <w:pPr>
        <w:pStyle w:val="TextBody"/>
        <w:bidi w:val="0"/>
        <w:spacing w:before="240" w:after="0"/>
        <w:jc w:val="left"/>
        <w:rPr>
          <w:rFonts w:ascii="Times New Roman" w:hAnsi="Times New Roman"/>
          <w:sz w:val="20"/>
        </w:rPr>
      </w:pPr>
      <w:r>
        <w:rPr>
          <w:rFonts w:ascii="Times New Roman" w:hAnsi="Times New Roman"/>
          <w:sz w:val="20"/>
        </w:rPr>
        <w:t xml:space="preserve">On August 14, 2025, Lilly sent to Adverum a revised long-form term sheet for a licensing transaction, responding to the key points raised in Adverum’s August 3rd proposal. </w:t>
      </w:r>
    </w:p>
    <w:p>
      <w:pPr>
        <w:pStyle w:val="TextBody"/>
        <w:bidi w:val="0"/>
        <w:spacing w:before="240" w:after="0"/>
        <w:jc w:val="left"/>
        <w:rPr>
          <w:rFonts w:ascii="Times New Roman" w:hAnsi="Times New Roman"/>
          <w:sz w:val="20"/>
        </w:rPr>
      </w:pPr>
      <w:r>
        <w:rPr>
          <w:rFonts w:ascii="Times New Roman" w:hAnsi="Times New Roman"/>
          <w:sz w:val="20"/>
        </w:rPr>
        <w:t xml:space="preserve">From this time through September 9, 2025, Lilly, Adverum and their respective representatives had a number of discussions regarding diligence matters and key open points in the long-form term sheet and draft license agreement. </w:t>
      </w:r>
    </w:p>
    <w:p>
      <w:pPr>
        <w:pStyle w:val="TextBody"/>
        <w:bidi w:val="0"/>
        <w:spacing w:before="240" w:after="0"/>
        <w:jc w:val="left"/>
        <w:rPr>
          <w:rFonts w:ascii="Times New Roman" w:hAnsi="Times New Roman"/>
          <w:sz w:val="20"/>
        </w:rPr>
      </w:pPr>
      <w:r>
        <w:rPr>
          <w:rFonts w:ascii="Times New Roman" w:hAnsi="Times New Roman"/>
          <w:sz w:val="20"/>
        </w:rPr>
        <w:t xml:space="preserve">On August 22, 2025, Lilly sent to Adverum a draft license agreement which generally aligned with Lilly’s August 14th draft term sheet and also included certain other provisions that were favorable to Lilly, including certain cost sharing and reimbursement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August 26, 2025, Adverum sent a revised draft license agreement to Lilly reflecting Adverum’s responses to the key open points in the license agreement and included a provision providing that development cost sharing would include certain Phase 3 development costs incurred by Adverum prior to the execution of the proposed licensing transaction, consistent with prior discussions between Adverum and Lilly. </w:t>
      </w:r>
    </w:p>
    <w:p>
      <w:pPr>
        <w:pStyle w:val="TextBody"/>
        <w:bidi w:val="0"/>
        <w:spacing w:before="240" w:after="0"/>
        <w:jc w:val="left"/>
        <w:rPr>
          <w:rFonts w:ascii="Times New Roman" w:hAnsi="Times New Roman"/>
          <w:sz w:val="20"/>
        </w:rPr>
      </w:pPr>
      <w:r>
        <w:rPr>
          <w:rFonts w:ascii="Times New Roman" w:hAnsi="Times New Roman"/>
          <w:sz w:val="20"/>
        </w:rPr>
        <w:t xml:space="preserve">From this time until September 9, 2025, representatives of Lilly and Adverum continued to engage regarding due diligence and process matters, including points relating to budgeting, cost sharing and reimbursement matters. </w:t>
      </w:r>
    </w:p>
    <w:p>
      <w:pPr>
        <w:pStyle w:val="TextBody"/>
        <w:bidi w:val="0"/>
        <w:spacing w:before="240" w:after="0"/>
        <w:jc w:val="left"/>
        <w:rPr>
          <w:rFonts w:ascii="Times New Roman" w:hAnsi="Times New Roman"/>
          <w:sz w:val="20"/>
        </w:rPr>
      </w:pPr>
      <w:r>
        <w:rPr>
          <w:rFonts w:ascii="Times New Roman" w:hAnsi="Times New Roman"/>
          <w:sz w:val="20"/>
        </w:rPr>
        <w:t xml:space="preserve">On September 9, 2025, a representative of Lilly contacted a member of Adverum’s senior management to discuss Adverum’s cash runway, its plans to finance Adverum’s financial commitments as part of the licensing transaction and to inquire as to whether Adverum would be open to a whole company sale transaction rather than the licensing transaction that the parties had been negotiating over the preceding months. The member of Adverum’s senior management indicated that any change in the structure of the transaction between the parties would need to be discussed with the Adverum Board but that in the view of management, any such acquisition proposal would need to represent an equivalent or greater value to Adverum’s stockholders than the proposed licensing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September 15, 2025, Lilly sent to Adverum a non-binding proposal providing for an acquisition of all outstanding shares of Adverum’s Common Stock for an aggregate of $91 million in cash at closing, as well as CVRs contemplating potential payment of an aggregate of $25 million upon FDA approval of Ixo-vec for the treatment of wet age-related macular degeneration (“wet AMD”). The proposal stated that Lilly did not have sufficient information to provide terms on a per share basis and that Adverum would be responsible for funding its business through closing of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Following Lilly’s delivery of the proposal, members of Adverum senior management participated in a discussion with representatives of Lilly during which, when asked about moving back to a partnering structure, the representatives of Lilly suggested that a partnering transaction structure may be possible if the Adverum Board was not amenable to the acquisition proposal, but Lilly preferred the acquisition structure. </w:t>
      </w:r>
    </w:p>
    <w:p>
      <w:pPr>
        <w:pStyle w:val="TextBody"/>
        <w:bidi w:val="0"/>
        <w:spacing w:before="240" w:after="0"/>
        <w:jc w:val="left"/>
        <w:rPr>
          <w:rFonts w:ascii="Times New Roman" w:hAnsi="Times New Roman"/>
          <w:sz w:val="20"/>
        </w:rPr>
      </w:pPr>
      <w:r>
        <w:rPr>
          <w:rFonts w:ascii="Times New Roman" w:hAnsi="Times New Roman"/>
          <w:sz w:val="20"/>
        </w:rPr>
        <w:t xml:space="preserve">On September 18, 2025, a representative of Adverum held a call with representatives of Lilly and delivered the acquisition counterproposal authorized by the Adverum Board, which consisted of $175 million in upfront cash consideration and up to $375 million in CVRs, with a near term milestone trigger of $75 million based on receipt of U.S. marketing approval for Ixo-vec and a sales-based milestone trigger of $300 million based on achievement of $1 billion in worldwide Ixo-vec revenues. A representative of Adverum also indicated that the Adverum Board remained open to executing the licensing transaction for which the parties had been in advanced discussions in the event that Lilly was unwilling to improve its acquisition proposal. </w:t>
      </w:r>
    </w:p>
    <w:p>
      <w:pPr>
        <w:pStyle w:val="TextBody"/>
        <w:bidi w:val="0"/>
        <w:spacing w:before="240" w:after="0"/>
        <w:jc w:val="left"/>
        <w:rPr>
          <w:rFonts w:ascii="Times New Roman" w:hAnsi="Times New Roman"/>
          <w:sz w:val="20"/>
        </w:rPr>
      </w:pPr>
      <w:r>
        <w:rPr>
          <w:rFonts w:ascii="Times New Roman" w:hAnsi="Times New Roman"/>
          <w:sz w:val="20"/>
        </w:rPr>
        <w:t xml:space="preserve">From this time through October 2, 2025, members of Adverum senior management and representatives of Lilly had limited engagement focused on process matters. </w:t>
      </w:r>
    </w:p>
    <w:p>
      <w:pPr>
        <w:pStyle w:val="TextBody"/>
        <w:bidi w:val="0"/>
        <w:spacing w:before="240" w:after="0"/>
        <w:jc w:val="left"/>
        <w:rPr>
          <w:rFonts w:ascii="Times New Roman" w:hAnsi="Times New Roman"/>
          <w:sz w:val="20"/>
        </w:rPr>
      </w:pPr>
      <w:r>
        <w:rPr>
          <w:rFonts w:ascii="Times New Roman" w:hAnsi="Times New Roman"/>
          <w:sz w:val="20"/>
        </w:rPr>
        <w:t xml:space="preserve">On October 2, 2025, Lilly sent Adverum a revised non-binding acquisition proposal, the terms of which included an aggregate of $100 million in cash at closing, as well as up to an aggregate of $250 million in value in the form of CVRs, with: (i) up to $50 million payable upon achievement of FDA approval of Ixo-vec for the treatment of wet AMD; and (ii) up to $200 million upon the achievement of worldwide net sales for Ixo-vec of greater than $1 billion. The proposal stated that Lilly believed an acquisition of Adverum, rather than a licensing arrangement, was in the best interests of both parties. The proposal also stated that Lilly expected that Adverum would be responsible for funding its business through closing of the transaction. The proposal noted that Lilly did not anticipate sending any further proposals. </w:t>
      </w:r>
    </w:p>
    <w:p>
      <w:pPr>
        <w:pStyle w:val="TextBody"/>
        <w:bidi w:val="0"/>
        <w:spacing w:before="240" w:after="0"/>
        <w:jc w:val="left"/>
        <w:rPr>
          <w:rFonts w:ascii="Times New Roman" w:hAnsi="Times New Roman"/>
          <w:sz w:val="20"/>
        </w:rPr>
      </w:pPr>
      <w:r>
        <w:rPr>
          <w:rFonts w:ascii="Times New Roman" w:hAnsi="Times New Roman"/>
          <w:sz w:val="20"/>
        </w:rPr>
        <w:t xml:space="preserve">On October 3, 2025, a representative of Adverum held a call with representatives of Lilly and informed them that the Adverum Board was willing to proceed to negotiation of definitive agreements and confirmatory due diligence on the basis of Lilly’s October 2nd proposal so long as (i) Lilly committed to a timeline to execute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definitive agreements within 10 days; (ii) the parties mutually agreed on the per share price implied by the proposal; and (iii) Lilly agreed to fund Adverum’s operations through the closing of the Transactions without any reduction in the transaction consideration. </w:t>
      </w:r>
    </w:p>
    <w:p>
      <w:pPr>
        <w:pStyle w:val="TextBody"/>
        <w:bidi w:val="0"/>
        <w:spacing w:before="240" w:after="0"/>
        <w:jc w:val="left"/>
        <w:rPr>
          <w:rFonts w:ascii="Times New Roman" w:hAnsi="Times New Roman"/>
          <w:sz w:val="20"/>
        </w:rPr>
      </w:pPr>
      <w:r>
        <w:rPr>
          <w:rFonts w:ascii="Times New Roman" w:hAnsi="Times New Roman"/>
          <w:sz w:val="20"/>
        </w:rPr>
        <w:t xml:space="preserve">Later on October 3, 2025, a representative of Lilly responded to an email from a representative of Adverum and indicated that Lilly was prepared to proceed with negotiation of definitive agreements. </w:t>
      </w:r>
    </w:p>
    <w:p>
      <w:pPr>
        <w:pStyle w:val="TextBody"/>
        <w:bidi w:val="0"/>
        <w:spacing w:before="240" w:after="0"/>
        <w:jc w:val="left"/>
        <w:rPr>
          <w:rFonts w:ascii="Times New Roman" w:hAnsi="Times New Roman"/>
          <w:sz w:val="20"/>
        </w:rPr>
      </w:pPr>
      <w:r>
        <w:rPr>
          <w:rFonts w:ascii="Times New Roman" w:hAnsi="Times New Roman"/>
          <w:sz w:val="20"/>
        </w:rPr>
        <w:t xml:space="preserve">Beginning on October 3, 2025 and continuing until the execution of the Merger Agreement, Adverum made additional confidential information about Adverum and its businesses available to Lilly and its advisors via a virtual data room. Adverum also responded to due diligence inquiries from Lilly and its advisors and members of Adverum senior management participated in due diligence sessions with representatives of Lilly. </w:t>
      </w:r>
    </w:p>
    <w:p>
      <w:pPr>
        <w:pStyle w:val="TextBody"/>
        <w:bidi w:val="0"/>
        <w:spacing w:before="240" w:after="0"/>
        <w:jc w:val="left"/>
        <w:rPr>
          <w:rFonts w:ascii="Times New Roman" w:hAnsi="Times New Roman"/>
          <w:sz w:val="20"/>
        </w:rPr>
      </w:pPr>
      <w:r>
        <w:rPr>
          <w:rFonts w:ascii="Times New Roman" w:hAnsi="Times New Roman"/>
          <w:sz w:val="20"/>
        </w:rPr>
        <w:t xml:space="preserve">On October 8, 2025, Ropes &amp; Gray LLP (“Ropes”), counsel to Lilly, sent representatives of Cooley LLP (“Cooley”), counsel to Adverum, a draft of the merger agreement and a draft of the CVR agreement for the proposed transaction. The draft merger agreement provided for, among other terms, (i) a Company Material Adverse Effect definition that specified that a clinical hold of over six months is a Company Material Adverse Effect; and (ii) a termination fee of 4% of the aggregate upfront purchase price plus the net present value of the CVRs. The draft CVR agreement provided for, among other terms, (i) a milestone offset concept, whereby the amount payable per CVR could be offset by 50% of certain payments Lilly is required to make post-closing in order to obtain licenses of third-party intellectual property necessary and reasonably useful for the development, manufacture, or commercialization of Ixo-vec; (ii) a milestone deadline for the First Milestone of the 7th anniversary of closing and for the Second Milestone of the 10th anniversary of the closing; (iii) a defined efforts obligation to achieve the First Milestone, and no efforts obligation to achieve the Second Milestone and (iv) a definition of “CVR Product” as Ixo-vec and not any other product candidate of Adverum. </w:t>
      </w:r>
    </w:p>
    <w:p>
      <w:pPr>
        <w:pStyle w:val="TextBody"/>
        <w:bidi w:val="0"/>
        <w:spacing w:before="240" w:after="0"/>
        <w:jc w:val="left"/>
        <w:rPr>
          <w:rFonts w:ascii="Times New Roman" w:hAnsi="Times New Roman"/>
          <w:sz w:val="20"/>
        </w:rPr>
      </w:pPr>
      <w:r>
        <w:rPr>
          <w:rFonts w:ascii="Times New Roman" w:hAnsi="Times New Roman"/>
          <w:sz w:val="20"/>
        </w:rPr>
        <w:t xml:space="preserve">On October 10, 2025, representatives of Cooley sent representatives of Ropes a revised draft of the merger agreement which provided, among other terms, that the Company Material Adverse Effect definition would not specify that a clinical hold of over six months is a Company Material Adverse Effect and a termination fee equal to 3.25% of the upfront transaction equity value, and a revised draft of the CVR agreement, which provided, among other terms, no milestone offset concept, a milestone deadline for the Second Milestone of the 12th anniversary of closing and a definition of definition of “CVR Product” that included Ixo-vec and any other product candidate of Adverum. </w:t>
      </w:r>
    </w:p>
    <w:p>
      <w:pPr>
        <w:pStyle w:val="TextBody"/>
        <w:bidi w:val="0"/>
        <w:spacing w:before="240" w:after="0"/>
        <w:jc w:val="left"/>
        <w:rPr>
          <w:rFonts w:ascii="Times New Roman" w:hAnsi="Times New Roman"/>
          <w:sz w:val="20"/>
        </w:rPr>
      </w:pPr>
      <w:r>
        <w:rPr>
          <w:rFonts w:ascii="Times New Roman" w:hAnsi="Times New Roman"/>
          <w:sz w:val="20"/>
        </w:rPr>
        <w:t xml:space="preserve">On October 12, 2025, representatives of Cooley sent representatives of Ropes an initial draft of Adverum’s disclosure letter. From this time through October 21, 2025, members of Adverum senior management and representatives of Cooley sought to further negotiate certain terms of the definitive agreements. </w:t>
      </w:r>
    </w:p>
    <w:p>
      <w:pPr>
        <w:pStyle w:val="TextBody"/>
        <w:bidi w:val="0"/>
        <w:spacing w:before="240" w:after="0"/>
        <w:jc w:val="left"/>
        <w:rPr>
          <w:rFonts w:ascii="Times New Roman" w:hAnsi="Times New Roman"/>
          <w:sz w:val="20"/>
        </w:rPr>
      </w:pPr>
      <w:r>
        <w:rPr>
          <w:rFonts w:ascii="Times New Roman" w:hAnsi="Times New Roman"/>
          <w:sz w:val="20"/>
        </w:rPr>
        <w:t xml:space="preserve">On October 21, 2025, representatives of Ropes sent to representatives of Cooley a revised draft of the merger agreement, which provided for, among other terms, a Company Material Adverse Effect definition which specified that a clinical hold of over six months is a Company Material Adverse Effect; and (ii) a termination fee of 4% of the aggregate upfront purchase price but excluding the potential CVR consideration, and a revised draft of the CVR agreement, which provided for, among other terms, the milestone offset concept included in Lilly’s initial draft of such agreement, a milestone deadline for the Second Milestone of the 10th anniversary of closing and a definition of ‘CVR Product’ as Ixo-vec that did not include any other product candidate of Adverum, and an initial draft of the Promissory Note. </w:t>
      </w:r>
    </w:p>
    <w:p>
      <w:pPr>
        <w:pStyle w:val="TextBody"/>
        <w:bidi w:val="0"/>
        <w:spacing w:before="240" w:after="0"/>
        <w:jc w:val="left"/>
        <w:rPr>
          <w:rFonts w:ascii="Times New Roman" w:hAnsi="Times New Roman"/>
          <w:sz w:val="20"/>
        </w:rPr>
      </w:pPr>
      <w:r>
        <w:rPr>
          <w:rFonts w:ascii="Times New Roman" w:hAnsi="Times New Roman"/>
          <w:sz w:val="20"/>
        </w:rPr>
        <w:t xml:space="preserve">Over the course of October 22, 2025, representatives of Adverum and Lilly had a number of discussions regarding the fully diluted share count for Adverum which should be used for determining the per share upfront cash consideration and per share CVR consideration, corresponding to the aggregate $100 million up-front and up to $250 million CVR amounts included by Lilly in its October 2nd proposal. </w:t>
      </w:r>
    </w:p>
    <w:p>
      <w:pPr>
        <w:pStyle w:val="TextBody"/>
        <w:bidi w:val="0"/>
        <w:spacing w:before="240" w:after="0"/>
        <w:jc w:val="left"/>
        <w:rPr>
          <w:rFonts w:ascii="Times New Roman" w:hAnsi="Times New Roman"/>
          <w:sz w:val="20"/>
        </w:rPr>
      </w:pPr>
      <w:r>
        <w:rPr>
          <w:rFonts w:ascii="Times New Roman" w:hAnsi="Times New Roman"/>
          <w:sz w:val="20"/>
        </w:rPr>
        <w:t xml:space="preserve">On October 22, 2025, representatives of Cooley sent representatives of Ropes revised drafts of the merger agreement, CVR agreement and Promissory Note, reflecting the Adverum Board’s feedback. From that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through the execution of definitive agreements, representatives of Cooley and Ropes had a number of discussions to negotiate and finalize the terms of the definitive agreements and exchanged drafts of the definitive agreements. </w:t>
      </w:r>
    </w:p>
    <w:p>
      <w:pPr>
        <w:pStyle w:val="TextBody"/>
        <w:bidi w:val="0"/>
        <w:spacing w:before="240" w:after="0"/>
        <w:jc w:val="left"/>
        <w:rPr>
          <w:rFonts w:ascii="Times New Roman" w:hAnsi="Times New Roman"/>
          <w:sz w:val="20"/>
        </w:rPr>
      </w:pPr>
      <w:r>
        <w:rPr>
          <w:rFonts w:ascii="Times New Roman" w:hAnsi="Times New Roman"/>
          <w:sz w:val="20"/>
        </w:rPr>
        <w:t xml:space="preserve">On October 23, 2025, Lilly sent a revised proposal which retained the existing economics of Lilly’s October 2 proposal but specified the per share consideration for the transaction as follows: (i) $3.56 per share in cash payable at closing plus (ii) one non-tradable CVR that entitles the holder to receive up to an additional $8.91 per CVR in cash upon the achievement of two milestones described below, for a total potential per share consideration of up to $12.47. The CVR provides payments if and when the following are achieved: (1) up to $1.78 per CVR in cash payable upon U.S. approval of Ixo-vec prior to the 7th anniversary of closing and (2) up to $7.13 per CVR in cash payable upon the first achievement of annual worldwide net sales of Ixo-vec by Lilly, its affiliates or licensees exceeding $1.0 billion dollars prior to the 10th anniversary of closing. </w:t>
      </w:r>
    </w:p>
    <w:p>
      <w:pPr>
        <w:pStyle w:val="TextBody"/>
        <w:bidi w:val="0"/>
        <w:spacing w:before="240" w:after="0"/>
        <w:jc w:val="left"/>
        <w:rPr>
          <w:rFonts w:ascii="Times New Roman" w:hAnsi="Times New Roman"/>
          <w:sz w:val="20"/>
        </w:rPr>
      </w:pPr>
      <w:r>
        <w:rPr>
          <w:rFonts w:ascii="Times New Roman" w:hAnsi="Times New Roman"/>
          <w:sz w:val="20"/>
        </w:rPr>
        <w:t xml:space="preserve">On October 24, 2025, the parties executed the Merger Agreement and the Promissory Note. </w:t>
      </w:r>
    </w:p>
    <w:p>
      <w:pPr>
        <w:pStyle w:val="TextBody"/>
        <w:bidi w:val="0"/>
        <w:spacing w:before="240" w:after="0"/>
        <w:jc w:val="left"/>
        <w:rPr>
          <w:rFonts w:ascii="Times New Roman" w:hAnsi="Times New Roman"/>
          <w:sz w:val="20"/>
        </w:rPr>
      </w:pPr>
      <w:r>
        <w:rPr>
          <w:rFonts w:ascii="Times New Roman" w:hAnsi="Times New Roman"/>
          <w:sz w:val="20"/>
        </w:rPr>
        <w:t xml:space="preserve">Later on October 24, 2025, and before the opening of trading on Nasdaq, Lilly and Adverum issued a joint press release announcing the execution of the Merger Agreement and the Promissory Note.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bookmarkStart w:id="17" w:name="toc67752_14"/>
            <w:bookmarkEnd w:id="17"/>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The Merger Agreement; Other Agreements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certain provisions of the Merger Agreement. The summary does not purport to be complete and is qualified in its entirety by reference to the Merger Agreement itself which has been filed as Exhibit (d)(1) to the Schedule TO and is incorporated herein by reference. Copies of the Merger Agreement and the Schedule TO, and any other filings that Lilly or Purchaser makes with the SEC with respect to the Offer, may be obtained in the manner set forth in Section 8 — “Certain Information Concerning Lilly and Purchaser.” Stockholders and other interested parties should read the Merger Agreement for a more complete description of the provisions summarized below. Capitalized terms used in this Section 11 and not otherwise defined in this Offer to Purchase have the respective meanings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has been filed as an exhibit to this Offer to Purchase with the SEC and is incorporated by reference herein to provide investors and stockholders with information regarding the terms of the Merger Agreement. The Merger Agreement is not intended to provide, modify or supplement any factual disclosures about Adverum, Lilly or Purchaser, their respective businesses, or the actual conduct of their respective businesses during the period prior to the consummation of the Offer, the Merger or otherwise. The Merger Agreement and this summary should not be relied upon as disclosure about Adverum or Lilly. None of Adverum’s stockholders or any other third parties should rely on the representations, warranties and covenants or any descriptions thereof as characterizations of the actual state of facts or conditions of Adverum, Lilly, Purchaser or any of their respective subsidiaries or affiliates. The Merger Agreement contains representations and warranties that are the product of negotiations among the parties thereto and that the parties made to, and solely for the benefit of, each other as of specified dates. The assertions embodied in those representations and warranties are subject to qualifications and limitations agreed to by the respective parties and are also qualified in important part by confidential disclosure schedules delivered by Adverum to Lilly and Purchaser in connection with the Merger Agreement. The representations and warranties may have been made for the purpose of allocating contractual risk among the parties to the Merger Agreement and may be subject to standards of materiality applicable to the contracting parties that differ from those generally applicable to stockholders and reports and documents filed with the SEC, and in some cases, are qualified by the confidential disclosure letter delivered by Adverum to Lilly and Purchaser concurrently with the execution of the Merger Agreement (the “Disclosure Letter”). The Merger Agreement is not intended to modify or supplement any factual disclosures about Adverum, Lilly or Purchaser in Adverum’s public reports and other filings with the SEC. Investors are not third-party beneficiaries under the Merger Agreement (except that any one or more of the holders of Shares, Company Stock Options, Company RSUs, Company PSUs, and Warrants may enforce the provisions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Merger Agreement relating to their right to receive the consideration in the Merger applicable to such holder(s)). Accordingly, investors and stockholders should not rely on such representations, warranties and covenants as characterizations of the actual state of facts or circumstances described therein. Information concerning the subject matter of the representations, warranties and covenants, which do not purport to be accurate as of the date of this Offer to Purchase, may have changed since the date of the Merger Agreement, which subsequent information may or may not be fully reflected in Lilly’s, Purchaser’s or Adverum’s public disclosures. </w:t>
      </w:r>
    </w:p>
    <w:p>
      <w:pPr>
        <w:pStyle w:val="TextBody"/>
        <w:bidi w:val="0"/>
        <w:spacing w:before="240" w:after="0"/>
        <w:jc w:val="left"/>
        <w:rPr>
          <w:rFonts w:ascii="Times New Roman" w:hAnsi="Times New Roman"/>
          <w:sz w:val="20"/>
        </w:rPr>
      </w:pPr>
      <w:r>
        <w:rPr>
          <w:rFonts w:ascii="Times New Roman" w:hAnsi="Times New Roman"/>
          <w:i/>
          <w:sz w:val="20"/>
        </w:rPr>
        <w:t>The Offer</w:t>
      </w:r>
      <w:r>
        <w:rPr>
          <w:rFonts w:ascii="Times New Roman" w:hAnsi="Times New Roman"/>
          <w:sz w:val="20"/>
        </w:rPr>
        <w:t xml:space="preserve">. The Merger Agreement provides that Purchaser will, as promptly as practicable after the date of the Merger Agreement (but in no event later than November 7, 2025), commence the Offer at the Offer Price; however, if at the time Purchaser intends to commence the Offer, Adverum is not prepared to file with the SEC and to disseminate to holders of Shares the Schedule 14D-9, Purchaser may, but, until such time as Adverum is so prepared, is not obligated to, commence the Offer. Purchaser’s obligation to accept for payment and pay for any Shares validly tendered and not validly withdrawn pursuant to the Offer is subject only to the satisfaction or waiver of the Offer Conditions described in Section 15 — “Conditions of the Offer.” Purchaser will accept for purchase and pay for all Shares validly tendered and not validly withdrawn pursuant to the Offer promptly after the Expiration Time. To the extent reasonably requested by Adverum, Lilly will use commercially reasonable efforts to keep Adverum reasonably informed on a reasonably prompt basis of the status of the Offer, including with respect to the number of Shares that have been validly tendered and not validly withdrawn in accordance with the terms of the Offer and, upon Adverum’s reasonable written request, use commercially reasonable efforts to provide Adverum as soon as reasonably practicable with the most recent report then available detailing the number of Shares that have been validly tendered and not validly withdrawn in accordance with the terms of the Offer. </w:t>
      </w:r>
    </w:p>
    <w:p>
      <w:pPr>
        <w:pStyle w:val="TextBody"/>
        <w:bidi w:val="0"/>
        <w:spacing w:before="240" w:after="0"/>
        <w:jc w:val="left"/>
        <w:rPr>
          <w:rFonts w:ascii="Times New Roman" w:hAnsi="Times New Roman"/>
          <w:sz w:val="20"/>
        </w:rPr>
      </w:pPr>
      <w:r>
        <w:rPr>
          <w:rFonts w:ascii="Times New Roman" w:hAnsi="Times New Roman"/>
          <w:sz w:val="20"/>
        </w:rPr>
        <w:t xml:space="preserve">Purchaser expressly reserves the right at any time or from time to time, in its sole discretion, to waive any Offer Condition or modify or amend the terms of the Offer, in whole or in part, including the Offer Price, except that Adverum’s prior written consent (which consent will not be unreasonably withheld, conditioned or delayed) is required for Purchaser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decrease the Cash Consideration or amend the terms of the CVRs or the CVR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form of the consideration payable in the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decrease the maximum number of Shares sought pursuant to the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or waive the Minimum Tender Condition or the Termination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 to or modify the Offer Conditions in a manner adverse to holders of Shares (as a group in their capacity as such);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extend the Expiration Time except as required or expressly permitted by the Merger Agreement or provide any “subsequent offering period” (or any extension thereof) within the meaning of Rule 14d-11 under the Exchange 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other change in the terms or conditions of the Offer that is adverse in any material respect to the holders of Shares (as a group in their capacity as such).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Merger Agreement provides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at the scheduled Expiration Time, any Offer Condition, other than solely (A) the Minimum Tender Condition, and (B) any such conditions that by their nature are to be satisfied at the Expiration Time, has not been satisfied or waived, Purchaser will extend the Offer for one or more consecutive increments of up to five business days each (or for such longer period as may be agreed to by Lilly and Adverum), until such time as such conditions have been satisfied or waived;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(ii)</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Purchaser will extend the Offer for any period required by any rule, regulation, interpretation or position of the SEC, the staff thereof or Nasdaq applicable to the Offer;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at the scheduled Expiration Time, each Offer Condition (other than the Minimum Tender Condition and any such conditions that by their nature are to be satisfied at the Expiration Time) will have been satisfied or waived and the Minimum Tender Condition will not have been satisfied, Purchaser may elect to (and if so requested by Adverum, Purchaser will) extend the Offer for one or more consecutive increments of such duration as requested by Adverum (or if not so requested, as determined by Purchaser), but not more than five business days each (or for such longer period as may be agreed to by Adverum and Lilly); however, Adverum may not request Purchaser to, and Purchaser will not be required to, extend the Offer on more than two occasions.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each case, Purchaser is not required to extend the Offer beyond the Outside Date. The “Outside Date” means January 22, 2026, unless otherwise extended by mutual written agreement of Lilly, Purchaser and Adverum. </w:t>
      </w:r>
    </w:p>
    <w:p>
      <w:pPr>
        <w:pStyle w:val="TextBody"/>
        <w:bidi w:val="0"/>
        <w:spacing w:before="240" w:after="0"/>
        <w:jc w:val="left"/>
        <w:rPr>
          <w:rFonts w:ascii="Times New Roman" w:hAnsi="Times New Roman"/>
          <w:sz w:val="20"/>
        </w:rPr>
      </w:pPr>
      <w:r>
        <w:rPr>
          <w:rFonts w:ascii="Times New Roman" w:hAnsi="Times New Roman"/>
          <w:sz w:val="20"/>
        </w:rPr>
        <w:t xml:space="preserve">If the Merger Agreement is terminated pursuant to its terms, Purchaser will terminate the Offer promptly (and in any event within one business day of such termination of the Merger Agreement), not acquire any Shares pursuant to the Offer and promptly (and in any event within two business days of such termination of the Merger Agreement) return, and cause any depositary or other agent acting on behalf of Purchaser (including the Depositary) to return, in accordance with applicable laws, all Shares tendered into the Offer to the registered holders thereof. </w:t>
      </w:r>
    </w:p>
    <w:p>
      <w:pPr>
        <w:pStyle w:val="TextBody"/>
        <w:bidi w:val="0"/>
        <w:spacing w:before="240" w:after="0"/>
        <w:jc w:val="left"/>
        <w:rPr>
          <w:rFonts w:ascii="Times New Roman" w:hAnsi="Times New Roman"/>
          <w:sz w:val="20"/>
        </w:rPr>
      </w:pPr>
      <w:r>
        <w:rPr>
          <w:rFonts w:ascii="Times New Roman" w:hAnsi="Times New Roman"/>
          <w:i/>
          <w:sz w:val="20"/>
        </w:rPr>
        <w:t>The Merger</w:t>
      </w:r>
      <w:r>
        <w:rPr>
          <w:rFonts w:ascii="Times New Roman" w:hAnsi="Times New Roman"/>
          <w:sz w:val="20"/>
        </w:rPr>
        <w:t xml:space="preserve">. At the Effective Time, Purchaser will merge with and into Adverum, the separate corporate existence of Purchaser will cease, and Adverum will continue as the Surviving Corporation. Subject to the Merger Agreement and pursuant to the DGCL (including Section 251 thereof), the Closing Date will take place as soon as practicable but in no event later than the first business day after the satisfaction or waiver of the closing conditions set forth in the Merger Agreement. Lilly, Purchaser and Adverum have agreed to take all necessary action to cause the Merger to become effective as soon as practicable following the consummation of the Offer without a vote of holders of the Shares in accordance with Section 251(h). </w:t>
      </w:r>
    </w:p>
    <w:p>
      <w:pPr>
        <w:pStyle w:val="TextBody"/>
        <w:bidi w:val="0"/>
        <w:spacing w:before="240" w:after="0"/>
        <w:jc w:val="left"/>
        <w:rPr>
          <w:rFonts w:ascii="Times New Roman" w:hAnsi="Times New Roman"/>
          <w:sz w:val="20"/>
        </w:rPr>
      </w:pPr>
      <w:r>
        <w:rPr>
          <w:rFonts w:ascii="Times New Roman" w:hAnsi="Times New Roman"/>
          <w:sz w:val="20"/>
        </w:rPr>
        <w:t xml:space="preserve">At the Closing, Lilly, Purchaser and Adverum will cause the certificate of merger to be filed with the Secretary of State of the State of Delaware, in such form as required by, and executed in accordance with, the relevant provisions of the DGCL, and will make all other filings, recordings or publications required under the DGCL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the certificate of incorporation and the bylaws of Adverum, will be amended and restated in their entirety and as so amended, will be the certificate of incorporation and the bylaws of the Surviving Corporation. </w:t>
      </w:r>
    </w:p>
    <w:p>
      <w:pPr>
        <w:pStyle w:val="TextBody"/>
        <w:bidi w:val="0"/>
        <w:spacing w:before="240" w:after="0"/>
        <w:jc w:val="left"/>
        <w:rPr>
          <w:rFonts w:ascii="Times New Roman" w:hAnsi="Times New Roman"/>
          <w:sz w:val="20"/>
        </w:rPr>
      </w:pPr>
      <w:r>
        <w:rPr>
          <w:rFonts w:ascii="Times New Roman" w:hAnsi="Times New Roman"/>
          <w:i/>
          <w:sz w:val="20"/>
        </w:rPr>
        <w:t>Board of Directors</w:t>
      </w:r>
      <w:r>
        <w:rPr>
          <w:rFonts w:ascii="Times New Roman" w:hAnsi="Times New Roman"/>
          <w:sz w:val="20"/>
        </w:rPr>
        <w:t xml:space="preserve">. The directors of Purchaser immediately prior to the Effective Time will become the initial directors of the Surviving Corporation until the earlier of their death, resignation or removal, or until their successor is duly elected and qualified. </w:t>
      </w:r>
    </w:p>
    <w:p>
      <w:pPr>
        <w:pStyle w:val="TextBody"/>
        <w:bidi w:val="0"/>
        <w:spacing w:before="240" w:after="0"/>
        <w:jc w:val="left"/>
        <w:rPr>
          <w:rFonts w:ascii="Times New Roman" w:hAnsi="Times New Roman"/>
          <w:sz w:val="20"/>
        </w:rPr>
      </w:pPr>
      <w:r>
        <w:rPr>
          <w:rFonts w:ascii="Times New Roman" w:hAnsi="Times New Roman"/>
          <w:i/>
          <w:sz w:val="20"/>
        </w:rPr>
        <w:t>Conversion of Securities</w:t>
      </w:r>
      <w:r>
        <w:rPr>
          <w:rFonts w:ascii="Times New Roman" w:hAnsi="Times New Roman"/>
          <w:sz w:val="20"/>
        </w:rPr>
        <w:t xml:space="preserve">. At the Effective Time, each Share issued and outstanding immediately prior to the Effective Time (other than (i) Shares held in the treasury of Adverum or owned by Adverum, (ii) Shares owned by Lilly, Purchaser or any direct or indirect wholly-owned subsidiary of Lilly or Purchaser or (iii) Dissenting Shares) will be converted into the right to receive the Merger Consideration, without interest, from Purchaser, less any applicable tax withholding. As of the Effective Time, all such Shares will no longer be outstanding and will cease to exist. </w:t>
      </w:r>
    </w:p>
    <w:p>
      <w:pPr>
        <w:pStyle w:val="TextBody"/>
        <w:bidi w:val="0"/>
        <w:spacing w:before="240" w:after="0"/>
        <w:jc w:val="left"/>
        <w:rPr>
          <w:rFonts w:ascii="Times New Roman" w:hAnsi="Times New Roman"/>
          <w:sz w:val="20"/>
        </w:rPr>
      </w:pPr>
      <w:r>
        <w:rPr>
          <w:rFonts w:ascii="Times New Roman" w:hAnsi="Times New Roman"/>
          <w:i/>
          <w:sz w:val="20"/>
        </w:rPr>
        <w:t>Treatment of Stock Options, Company RSUs, and Company PSUs</w:t>
      </w:r>
      <w:r>
        <w:rPr>
          <w:rFonts w:ascii="Times New Roman" w:hAnsi="Times New Roman"/>
          <w:sz w:val="20"/>
        </w:rPr>
        <w:t xml:space="preserve">. At the Effective Time, each Company Cash-Out Stock Option will be cancelled, and, in exchange therefor, the holder of such cancelled Company Cash-Out Stock Option will be entitled to receive, in consideration of the cancellation of such Company Cash-Out Stock Option, (A) an amount in cash (without interest and </w:t>
      </w:r>
      <w:r>
        <w:rPr>
          <w:rFonts w:ascii="Times New Roman" w:hAnsi="Times New Roman"/>
          <w:i/>
          <w:sz w:val="20"/>
        </w:rPr>
        <w:t>less</w:t>
      </w:r>
      <w:r>
        <w:rPr>
          <w:rFonts w:ascii="Times New Roman" w:hAnsi="Times New Roman"/>
          <w:sz w:val="20"/>
        </w:rPr>
        <w:t xml:space="preserve"> applicable tax withholdings pursuant to the Merger Agreement) equal to the product of (1) the total number of Shares subject to such Company Cash-Out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Stock Option immediately prior to the Effective Time </w:t>
      </w:r>
      <w:r>
        <w:rPr>
          <w:rFonts w:ascii="Times New Roman" w:hAnsi="Times New Roman"/>
          <w:i/>
          <w:sz w:val="20"/>
        </w:rPr>
        <w:t>multiplied</w:t>
      </w:r>
      <w:r>
        <w:rPr>
          <w:rFonts w:ascii="Times New Roman" w:hAnsi="Times New Roman"/>
          <w:sz w:val="20"/>
        </w:rPr>
        <w:t xml:space="preserve"> by (2) the excess, if any, of the Cash Consideration over the applicable exercise price per share under such Company Cash-Out Stock Option, and (B) one CVR for each Share subject to such Company Cash-Out Stock Option immediately prior to the Effective Time (without regard to vesting).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each Out-of-the-Money Option, to the extent not vested, will become fully vested as of prior to the Effective Time, and Adverum shall permit the holders of Out-of-the-Money Options to exercise such Out-of-the-Money Options prior to the Effective Time on a basis that allows such holders to participate in the Merger with respect to any Shares acquired under such Out-of-the-Money Options as a holder of Shares, with any Out-of-the-Money Options that remain outstanding and unexercised as of the Effective Time cancelled for no consideration at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each Company RSU that is outstanding and unvested immediately prior to the Effective Time will be cancelled, and, in exchange therefor, the holder of such cancelled Company RSU will be entitled to receive, in consideration of the cancellation of such Company RSU, (A) an amount in cash (without interest and </w:t>
      </w:r>
      <w:r>
        <w:rPr>
          <w:rFonts w:ascii="Times New Roman" w:hAnsi="Times New Roman"/>
          <w:i/>
          <w:sz w:val="20"/>
        </w:rPr>
        <w:t>less</w:t>
      </w:r>
      <w:r>
        <w:rPr>
          <w:rFonts w:ascii="Times New Roman" w:hAnsi="Times New Roman"/>
          <w:sz w:val="20"/>
        </w:rPr>
        <w:t xml:space="preserve"> any applicable tax withholdings pursuant to the Merger Agreement) equal to the product of (1) the total number of Shares subject to such Company RSU immediately prior to the Effective Time, </w:t>
      </w:r>
      <w:r>
        <w:rPr>
          <w:rFonts w:ascii="Times New Roman" w:hAnsi="Times New Roman"/>
          <w:i/>
          <w:sz w:val="20"/>
        </w:rPr>
        <w:t>multiplied</w:t>
      </w:r>
      <w:r>
        <w:rPr>
          <w:rFonts w:ascii="Times New Roman" w:hAnsi="Times New Roman"/>
          <w:sz w:val="20"/>
        </w:rPr>
        <w:t xml:space="preserve"> by (2) the Cash Consideration, and (B) one CVR for each Share subject to such Company RSU immediately prior to the Effective Time (without regard to vesting).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each Company PSU that is outstanding and unvested immediately prior to the Effective Time will be cancelled, and, in exchange therefor, the holder of such cancelled Company PSU will be entitled to receive, in consideration of the cancellation of such Company PSU, (A) an amount in cash (without interest and </w:t>
      </w:r>
      <w:r>
        <w:rPr>
          <w:rFonts w:ascii="Times New Roman" w:hAnsi="Times New Roman"/>
          <w:i/>
          <w:sz w:val="20"/>
        </w:rPr>
        <w:t xml:space="preserve">less </w:t>
      </w:r>
      <w:r>
        <w:rPr>
          <w:rFonts w:ascii="Times New Roman" w:hAnsi="Times New Roman"/>
          <w:sz w:val="20"/>
        </w:rPr>
        <w:t xml:space="preserve">applicable tax withholdings pursuant to the Merger Agreement) equal to the product of (1) the total number of Shares subject to such Company PSU immediately prior to the Effective Time </w:t>
      </w:r>
      <w:r>
        <w:rPr>
          <w:rFonts w:ascii="Times New Roman" w:hAnsi="Times New Roman"/>
          <w:i/>
          <w:sz w:val="20"/>
        </w:rPr>
        <w:t xml:space="preserve">multiplied </w:t>
      </w:r>
      <w:r>
        <w:rPr>
          <w:rFonts w:ascii="Times New Roman" w:hAnsi="Times New Roman"/>
          <w:sz w:val="20"/>
        </w:rPr>
        <w:t xml:space="preserve">by (2) the Cash Consideration, and (B) one CVR for each Share subject to such Company PSU immediately prior to the Effective Time (without regard to vesting).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provides that all payments to former holders of Company Cash-Out Stock Options, Company RSUs and Company PSUs who were granted such interests as an employee of Adverum or one of its Subsidiaries will be made as promptly as practicable after the Effective Time or the applicable Milestone Payment Date (as defined in the CVR Agreement), as applicable, and, in any event, no later than the second (2nd) regularly scheduled payroll date that follows (i) with respect to the Cash Consideration, the Effective Time, and (ii) with respect to the cash consideration payable upon satisfaction of a Milestone pursuant to the CVR Agreement, such time as the Rights Agent pays the applicable Milestone Payment in accordance with the CVR Agreement. </w:t>
      </w:r>
    </w:p>
    <w:p>
      <w:pPr>
        <w:pStyle w:val="TextBody"/>
        <w:bidi w:val="0"/>
        <w:spacing w:before="240" w:after="0"/>
        <w:jc w:val="left"/>
        <w:rPr>
          <w:rFonts w:ascii="Times New Roman" w:hAnsi="Times New Roman"/>
          <w:sz w:val="20"/>
        </w:rPr>
      </w:pPr>
      <w:r>
        <w:rPr>
          <w:rFonts w:ascii="Times New Roman" w:hAnsi="Times New Roman"/>
          <w:i/>
          <w:sz w:val="20"/>
        </w:rPr>
        <w:t>Treatment of Company</w:t>
      </w:r>
      <w:r>
        <w:rPr>
          <w:rFonts w:ascii="Times New Roman" w:hAnsi="Times New Roman"/>
          <w:sz w:val="20"/>
        </w:rPr>
        <w:t xml:space="preserve"> </w:t>
      </w:r>
      <w:r>
        <w:rPr>
          <w:rFonts w:ascii="Times New Roman" w:hAnsi="Times New Roman"/>
          <w:i/>
          <w:sz w:val="20"/>
        </w:rPr>
        <w:t xml:space="preserve">ESPP. </w:t>
      </w:r>
      <w:r>
        <w:rPr>
          <w:rFonts w:ascii="Times New Roman" w:hAnsi="Times New Roman"/>
          <w:sz w:val="20"/>
        </w:rPr>
        <w:t xml:space="preserve">Pursuant to the Merger Agreement, the Adverum Board has adopted or will adopt resolutions and has taken or will take all actions with respect to the Company ESPP that are necessary to provide that: (i) with respect to the Offering Period in effect as of the date of the Merger Agreement, if any, no individual who was not a participant in the Company ESPP as of the date of the Merger Agreement may enroll in the Company ESPP with respect to such Offering Period and no participant may increase the percentage amount of his or her payroll deduction election from that in effect on the date of the Merger Agreement for such Offering Period; (ii) no new Offering Period will commence following the date of the Merger Agreement unless and until the Merger Agreement is terminated; (iii) if the applicable purchase date with respect to the Offering Period would otherwise occur on or after the Closing Date, then (A) the Final Offering Period will be shortened and the New Exercise Date with respect to the Final Offering Period will occur no later than three business days prior to the Closing Date, and (B) each outstanding Share obtained through the exercise of any outstanding right under the Company ESPP will receive the Merger Consideration pursuant to the Merger Agreement; and (iv) the Company ESPP will terminate as of or prior to the Effective Time. </w:t>
      </w:r>
    </w:p>
    <w:p>
      <w:pPr>
        <w:pStyle w:val="TextBody"/>
        <w:bidi w:val="0"/>
        <w:spacing w:before="240" w:after="0"/>
        <w:jc w:val="left"/>
        <w:rPr>
          <w:rFonts w:ascii="Times New Roman" w:hAnsi="Times New Roman"/>
          <w:sz w:val="20"/>
        </w:rPr>
      </w:pPr>
      <w:r>
        <w:rPr>
          <w:rFonts w:ascii="Times New Roman" w:hAnsi="Times New Roman"/>
          <w:i/>
          <w:sz w:val="20"/>
        </w:rPr>
        <w:t xml:space="preserve">Treatment of Warrants. </w:t>
      </w:r>
      <w:r>
        <w:rPr>
          <w:rFonts w:ascii="Times New Roman" w:hAnsi="Times New Roman"/>
          <w:sz w:val="20"/>
        </w:rPr>
        <w:t xml:space="preserve">At the Effective Time, each Warrant that is issued and outstanding immediately prior to the Effective Time, unless otherwise elected by the holder of any such Warrant, will be replaced, in accordance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with the terms of each Warrant, with a warrant issued by the Surviving Corporation and exercisable for (A) an amount in cash (</w:t>
      </w:r>
      <w:r>
        <w:rPr>
          <w:rFonts w:ascii="Times New Roman" w:hAnsi="Times New Roman"/>
          <w:i/>
          <w:sz w:val="20"/>
        </w:rPr>
        <w:t>less</w:t>
      </w:r>
      <w:r>
        <w:rPr>
          <w:rFonts w:ascii="Times New Roman" w:hAnsi="Times New Roman"/>
          <w:sz w:val="20"/>
        </w:rPr>
        <w:t xml:space="preserve"> applicable tax withholdings pursuant to the Merger Agreement) equal to the product of (1) the total number of Shares in respect of such Warrant; multiplied by (2) the excess, if any, of the Cash Consideration over the per Share exercise price under such Warrant, and (B) one CVR for each Share in respect of such Warrant immediately prior to the Effective Time. In the event that the per share exercise price under any Warrant is equal to or greater than the Merger Consideration, such Warrant will be cancelled as of the Effective Time without payment and have no further force or effect. Adverum agreed to use reasonable best efforts to cause each holder of a Warrant to exercise such Warrant prior to the Effective Time. </w:t>
      </w:r>
    </w:p>
    <w:p>
      <w:pPr>
        <w:pStyle w:val="TextBody"/>
        <w:bidi w:val="0"/>
        <w:spacing w:before="240" w:after="0"/>
        <w:jc w:val="left"/>
        <w:rPr>
          <w:rFonts w:ascii="Times New Roman" w:hAnsi="Times New Roman"/>
          <w:sz w:val="20"/>
        </w:rPr>
      </w:pPr>
      <w:r>
        <w:rPr>
          <w:rFonts w:ascii="Times New Roman" w:hAnsi="Times New Roman"/>
          <w:i/>
          <w:sz w:val="20"/>
        </w:rPr>
        <w:t>Dissenting Shares</w:t>
      </w:r>
      <w:r>
        <w:rPr>
          <w:rFonts w:ascii="Times New Roman" w:hAnsi="Times New Roman"/>
          <w:sz w:val="20"/>
        </w:rPr>
        <w:t xml:space="preserve">. At the Effective Time, the Dissenting Shares will be cancelled and will cease to exist. From and after the Effective Time, holders of Dissenting Shares will cease to have any rights with respect thereto except the right to payment of the appraised value of such Dissenting Shares in accordance with Section 262. </w:t>
      </w:r>
    </w:p>
    <w:p>
      <w:pPr>
        <w:pStyle w:val="TextBody"/>
        <w:bidi w:val="0"/>
        <w:spacing w:before="240" w:after="0"/>
        <w:jc w:val="left"/>
        <w:rPr>
          <w:rFonts w:ascii="Times New Roman" w:hAnsi="Times New Roman"/>
          <w:sz w:val="20"/>
        </w:rPr>
      </w:pPr>
      <w:r>
        <w:rPr>
          <w:rFonts w:ascii="Times New Roman" w:hAnsi="Times New Roman"/>
          <w:sz w:val="20"/>
        </w:rPr>
        <w:t xml:space="preserve">However, if any holder fails to perfect, effectively withdraws or otherwise loses his, her or its right to appraisal under Section 262, the Dissenting Shares will be treated as if such Dissenting Shares had been converted as of the Effective Time into the right to receive the Merger Consideration, without interest and less any applicable tax withholding. </w:t>
      </w:r>
    </w:p>
    <w:p>
      <w:pPr>
        <w:pStyle w:val="TextBody"/>
        <w:bidi w:val="0"/>
        <w:spacing w:before="240" w:after="0"/>
        <w:jc w:val="left"/>
        <w:rPr>
          <w:rFonts w:ascii="Times New Roman" w:hAnsi="Times New Roman"/>
          <w:sz w:val="20"/>
        </w:rPr>
      </w:pPr>
      <w:r>
        <w:rPr>
          <w:rFonts w:ascii="Times New Roman" w:hAnsi="Times New Roman"/>
          <w:i/>
          <w:sz w:val="20"/>
        </w:rPr>
        <w:t>Payment of the Merger Consideration; Surrender of Shares</w:t>
      </w:r>
      <w:r>
        <w:rPr>
          <w:rFonts w:ascii="Times New Roman" w:hAnsi="Times New Roman"/>
          <w:sz w:val="20"/>
        </w:rPr>
        <w:t xml:space="preserve">. At or immediately after the Acceptance Time, Lilly will deposit or cause to be deposited with a bank or trust company cash in an amount sufficient to pay the aggregate Cash Consideration (calculated assuming that all Shares (other than Dissenting Shares) are tendered into the Offer for purposes of this paragraph). </w:t>
      </w:r>
    </w:p>
    <w:p>
      <w:pPr>
        <w:pStyle w:val="TextBody"/>
        <w:bidi w:val="0"/>
        <w:spacing w:before="240" w:after="0"/>
        <w:jc w:val="left"/>
        <w:rPr>
          <w:rFonts w:ascii="Times New Roman" w:hAnsi="Times New Roman"/>
          <w:sz w:val="20"/>
        </w:rPr>
      </w:pPr>
      <w:r>
        <w:rPr>
          <w:rFonts w:ascii="Times New Roman" w:hAnsi="Times New Roman"/>
          <w:sz w:val="20"/>
        </w:rPr>
        <w:t xml:space="preserve">As promptly as practicable after the Effective Time (and in any event within three business days thereafter), Lilly will cause its depositary for the Merger Consideration (the “Merger Depositary”) to mail to each holder of a record of a certificate (a “Certificate”) or book-entry shares (each, a “Book-Entry Share”) entitled to receive the Merger Consideration, a letter of transmittal or customary agent’s message with respect to the book-entry Shares, as applicable, and instructions for effecting the surrender of a Certificate or Book-Entry Share in exchange for payment of the Merger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Upon surrender of a duly executed letter of transmittal and a Certificate to the Merger Depositary, the holder of such Certificate will be entitled to receive in exchange therefor the Merger Consideration into which the Shares represented by such Certificate have been converted, and such Certificate so surrendered will be cancelled. </w:t>
      </w:r>
    </w:p>
    <w:p>
      <w:pPr>
        <w:pStyle w:val="TextBody"/>
        <w:bidi w:val="0"/>
        <w:spacing w:before="240" w:after="0"/>
        <w:jc w:val="left"/>
        <w:rPr>
          <w:rFonts w:ascii="Times New Roman" w:hAnsi="Times New Roman"/>
          <w:sz w:val="20"/>
        </w:rPr>
      </w:pPr>
      <w:r>
        <w:rPr>
          <w:rFonts w:ascii="Times New Roman" w:hAnsi="Times New Roman"/>
          <w:sz w:val="20"/>
        </w:rPr>
        <w:t xml:space="preserve">No holder of record of a Book-Entry Share entitled to receive the Merger Consideration will be required to deliver a Certificate or an executed letter of transmittal to the Merger Depositary to receive the Merger Consideration in respect of such Book-Entry Shares. In lieu thereof, such holder of record will, upon receipt by the Merger Depositary of an “agent’s message” in customary form (or such other evidence, if any, as the Merger Depositary may reasonably request), be entitled to receive the Merger Consideration, and such book-entry Share will be cancelled. Payment of the Merger Consideration with respect to Book-Entry Shares shall only be made to the person in whose name such Book-Entry Shares are registered. Until such “agent’s message” (or such other evidence) is received, each Book-Entry Share will be deemed at any time after the Effective Time to represent only the right to receive the Merger Consideration and will not evidence any interest in, or any right to exercise the rights of a stockholder or other equity holder of, Adverum or the Surviving Corporation. No interest shall be paid or accrue on the cash payable in respect of a Book-Entry Share. </w:t>
      </w:r>
    </w:p>
    <w:p>
      <w:pPr>
        <w:pStyle w:val="TextBody"/>
        <w:bidi w:val="0"/>
        <w:spacing w:before="240" w:after="0"/>
        <w:jc w:val="left"/>
        <w:rPr>
          <w:rFonts w:ascii="Times New Roman" w:hAnsi="Times New Roman"/>
          <w:sz w:val="20"/>
        </w:rPr>
      </w:pPr>
      <w:r>
        <w:rPr>
          <w:rFonts w:ascii="Times New Roman" w:hAnsi="Times New Roman"/>
          <w:sz w:val="20"/>
        </w:rPr>
        <w:t xml:space="preserve">At any time following the date that is six months after the Effective Time, Lilly may require the Merger Depositary to deliver to Lilly or its designated affiliate any funds (including any interest received with respect thereto) that have been made available to the Merger Depositary and that have not been disbursed to holders of Certificates or Book-Entry Shares. Thereafter, such holders will be entitled to look to the Surviving Corporation with respect to the Merger Consideration payable to the holder of a Certificate or Book-Entry Share. The Surviving Corporation will pay all charges and expenses, including those of the Merger Depositary,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connection with the exchange of Shares for the Merger Consideration. None of Lilly, Purchaser, Adverum, the Surviving Corporation or the Merger Depositary will be liable to any person in respect of any funds delivered to a public official pursuant to any abandoned property, escheat or other similar laws.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16 Matters</w:t>
      </w:r>
      <w:r>
        <w:rPr>
          <w:rFonts w:ascii="Times New Roman" w:hAnsi="Times New Roman"/>
          <w:sz w:val="20"/>
        </w:rPr>
        <w:t xml:space="preserve">. Prior to the Acceptance Time, the Adverum Board will take all necessary and appropriate action to approve, for purposes of Section 16(b) of the Exchange Act and the related rules and regulations thereunder, the disposition by Adverum directors and officers of Shares, Company Stock Options, Company RSUs and Company PSUs contemplated by the Merger Agreement. </w:t>
      </w:r>
    </w:p>
    <w:p>
      <w:pPr>
        <w:pStyle w:val="TextBody"/>
        <w:bidi w:val="0"/>
        <w:spacing w:before="240" w:after="0"/>
        <w:jc w:val="left"/>
        <w:rPr>
          <w:rFonts w:ascii="Times New Roman" w:hAnsi="Times New Roman"/>
          <w:sz w:val="20"/>
        </w:rPr>
      </w:pPr>
      <w:r>
        <w:rPr>
          <w:rFonts w:ascii="Times New Roman" w:hAnsi="Times New Roman"/>
          <w:i/>
          <w:sz w:val="20"/>
        </w:rPr>
        <w:t>Withholding</w:t>
      </w:r>
      <w:r>
        <w:rPr>
          <w:rFonts w:ascii="Times New Roman" w:hAnsi="Times New Roman"/>
          <w:sz w:val="20"/>
        </w:rPr>
        <w:t xml:space="preserve">. Lilly, Purchaser, Adverum and the Depositary are entitled to deduct and withhold from any amounts payable pursuant to the Merger Agreement such amounts required to be deducted and withheld under the Code or any other tax law. </w:t>
      </w:r>
    </w:p>
    <w:p>
      <w:pPr>
        <w:pStyle w:val="TextBody"/>
        <w:bidi w:val="0"/>
        <w:spacing w:before="240" w:after="0"/>
        <w:jc w:val="left"/>
        <w:rPr>
          <w:rFonts w:ascii="Times New Roman" w:hAnsi="Times New Roman"/>
          <w:sz w:val="20"/>
        </w:rPr>
      </w:pPr>
      <w:r>
        <w:rPr>
          <w:rFonts w:ascii="Times New Roman" w:hAnsi="Times New Roman"/>
          <w:i/>
          <w:sz w:val="20"/>
        </w:rPr>
        <w:t>Transfer Taxes</w:t>
      </w:r>
      <w:r>
        <w:rPr>
          <w:rFonts w:ascii="Times New Roman" w:hAnsi="Times New Roman"/>
          <w:sz w:val="20"/>
        </w:rPr>
        <w:t xml:space="preserve">. All transfer taxes imposed on the Offer or the Merger will be paid by the Surviving Corporation and Adverum will cooperate with Purchaser and Lilly in preparing, executing and filing any tax returns with respect to such transfer taxes. If any payment is to be made to a person other than the person named on a surrendered Certificate, it will be a condition to such payment that (i) such Certificate so surrendered must be properly endorsed or must otherwise be in proper form, and (ii) the person presenting such Certificate must pay to the Depositary any transfer tax or other taxes required or must establish to the satisfaction of the Depositary that such tax has been paid or is not required to be paid. </w:t>
      </w:r>
    </w:p>
    <w:p>
      <w:pPr>
        <w:pStyle w:val="TextBody"/>
        <w:bidi w:val="0"/>
        <w:spacing w:before="360" w:after="0"/>
        <w:jc w:val="left"/>
        <w:rPr>
          <w:rFonts w:ascii="Times New Roman" w:hAnsi="Times New Roman"/>
          <w:i/>
          <w:sz w:val="20"/>
        </w:rPr>
      </w:pPr>
      <w:r>
        <w:rPr>
          <w:rFonts w:ascii="Times New Roman" w:hAnsi="Times New Roman"/>
          <w:i/>
          <w:sz w:val="20"/>
        </w:rPr>
        <w:t xml:space="preserve">Representations and Warranties. </w:t>
      </w:r>
    </w:p>
    <w:p>
      <w:pPr>
        <w:pStyle w:val="TextBody"/>
        <w:bidi w:val="0"/>
        <w:spacing w:before="120" w:after="0"/>
        <w:jc w:val="left"/>
        <w:rPr>
          <w:rFonts w:ascii="Times New Roman" w:hAnsi="Times New Roman"/>
          <w:sz w:val="20"/>
        </w:rPr>
      </w:pPr>
      <w:r>
        <w:rPr>
          <w:rFonts w:ascii="Times New Roman" w:hAnsi="Times New Roman"/>
          <w:sz w:val="20"/>
        </w:rPr>
        <w:t xml:space="preserve">In the Merger Agreement, Adverum has made customary representations and warranties to Lilly and Purchaser with respect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corporate organizations, good standing of Adverum and its subsidiaries and organizational documents of Adverum and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corporate authority of Adverum to enter into the Merger Agreement and Promissory Note and to consummate the Transactions, and due execution and delivery of the Merger Agreement and Promissory Note;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capitalization and equity securities of Adverum and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absence of violations of organizational documents, applicable laws and contracts as a result of the Transactions, including the Offer and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required consents, approvals and filings as a result of the Transactions, including the Offer and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timely filing of SEC filings, accuracy and completeness of the SEC filings and absence of certain SEC investigations;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preparation of financial statements in accordance with United States generally accepted accounting principles (“GAAP”), maintenance of system of internal control over financial reporting and disclosure controls and the absence of off-balance sheet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absence of certain undisclosed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absence of certain changes and events since June 30,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owned and leased tangible assets and real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contracts and commitments;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absence of material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employee benefit plan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environmental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employment and labor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health law and regulations of the applicable regulatory agencies that are applicable to Adverum and its product candidates and possession of necessary authorizations;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privacy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anti-corruption and money laundering laws, trade controls and sanctions;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suppliers and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advisors and brokers;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absence of anti-takeover agreements or plans and exemption from the takeover laws of Delaware, including Section 203 of the DGCL;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of fairness opinions from the financial advisors;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vote required or stockholder consents needed to authorize the Merger Agreement or for the consummation of the Transactions;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absence of certain affiliate transactions.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Certain of Adverum’s representations and warranties in the Merger Agreement refer to, and are qualified by, the concept of “Company Material Adverse Effect.” </w:t>
      </w:r>
    </w:p>
    <w:p>
      <w:pPr>
        <w:pStyle w:val="TextBody"/>
        <w:bidi w:val="0"/>
        <w:spacing w:before="240" w:after="0"/>
        <w:jc w:val="left"/>
        <w:rPr/>
      </w:pPr>
      <w:r>
        <w:rPr/>
        <w:t>“</w:t>
      </w:r>
      <w:r>
        <w:rPr>
          <w:rFonts w:ascii="Times New Roman" w:hAnsi="Times New Roman"/>
          <w:sz w:val="20"/>
        </w:rPr>
        <w:t xml:space="preserve">Company Material Adverse Effect” means any state of facts, change, effect, event, circumstance, result, development, condition, inaccuracy, occurrence or other matter that, alone or taken together, (x) has or would reasonably be expected to have, individually or in the aggregate, a material adverse effect on the business, condition (financial or otherwise), assets and liabilities (taken as a whole), operations, prospects, or results of operations of Adverum and its Subsidiaries, taken as a whole, or (y) prevents or materially impairs or delays the ability of Adverum to perform its obligations under the Merger Agreement or consummate the Transactions on or before the Outside Date; </w:t>
      </w:r>
      <w:r>
        <w:rPr>
          <w:rFonts w:ascii="Times New Roman" w:hAnsi="Times New Roman"/>
          <w:sz w:val="20"/>
          <w:u w:val="single"/>
        </w:rPr>
        <w:t>provided</w:t>
      </w:r>
      <w:r>
        <w:rPr>
          <w:rFonts w:ascii="Times New Roman" w:hAnsi="Times New Roman"/>
          <w:sz w:val="20"/>
        </w:rPr>
        <w:t xml:space="preserve"> that for purposes of clause (x), any state of facts, changes, effects, events, circumstances, results, developments, conditions, inaccuracies, occurrences, or other matters resulting from any of the following will not be deemed to constitute a Company Material Adverse Effect and will be disregarded in determining whether a Company Material Adverse Effect has occurred: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matters generally affecting the U.S. or foreign economies, financial or securities markets, or political, legislative, or regulatory conditions, or the industry in which Adverum and its subsidiaries, taken as a whole, operate, except to the extent such matters have a materially disproportionate adverse effect on Adverum and its subsidiaries, taken as a whole, relative to the impact on other companies in the industry in which Adverum and its subsidiaries, taken as a whole,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announcement of the Merger Agreement or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 in the market price or trading volume of the Shares; however, this exception will not preclude a determination that a matter underlying such change has resulted in or contributed to a Company Material Adverse Effect unless excluded under another clause;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acts of war or terrorism (including cyberattacks), national emergencies, natural disasters, force majeure events, weather or environmental events or health emergencies, including pandemics or epidemics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escalation of any of the foregoing), except to the extent such matters have a materially disproportionate adverse effect on Adverum and its subsidiaries, taken as a whole, relative to the impact on other companies in the industry in which Adverum and its subsidiaries, taken as a whole,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laws or regulations, or the authoritative interpretations thereof, except to the extent such changes have a materially disproportionate adverse effect on Adverum and its subsidiaries, taken as a whole, relative to the impact on other companies in the industry in which Adverum and its subsidiaries, taken as a whole,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taken by Adverum or its subsidiaries that is required by the Merger Agreement, including compliance with covenants set forth therein (excluding the requirement that Adverum and its subsidiaries operate in the ordinary course of business), or any action taken or omitted to be taken by Adverum or its subsidiaries at the express written request or with the prior written consent of Lilly or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or settlement of any legal proceedings commenced by any holder of Shares (on their own or on behalf of Adverum or any of its subsidiaries) arising out of or related to the Merger Agreement or the Transactions;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failure by Adverum or its subsidiaries to meet any internal or analyst projections or forecasts or estimates of revenues, earnings, or other financial metrics for any period; however, this exception will not preclude a determination that a matter underlying such failure has resulted in or contributed to a Company Material Adverse Effect unless expressly excluded under another clause.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Without limiting the generality of the foregoing, any change, effect, event, inaccuracy, occurrence, or other matter (whether or not previously disclosed in any document filed with, or furnished to, the SEC, the Disclosure Letter or otherwise) that, individually or in the aggregate, results in an issuance by the FDA of a clinical hold on the investigation of any Products (as defined in the Merger Agreement), the result of which would reasonably be expected to result in the termination of development of, or a delay of six (6) months or more in dosing patients in, such Products, will be deemed to constitute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In the Merger Agreement, Lilly and Purchaser, as applicable, have made representations and warranties to Adverum with respect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corporate organization and good standing of Lilly and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corporate authority of Lilly and Purchaser to enter into the Merger Agreement, the Promissory Note and the CVR Agreement and to consummate the Transactions, and the due execution and delivery of the Merger Agreement, the Promissory Note and, when executed and delivered, the CVR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absence of violations of organizational documents or applicable laws as a result of the Transactions, including the Offer and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required consents and approvals and filings as a result of the Transactions, including the Offer and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absence of litigation resulting from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advisors and brokers;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operation of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ownership of the Shares of Adverum;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vote or consent to approve the Offer or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sufficiency of funds to consummate the Transactions, including the Offer and the Merger;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disclosure of arrangements or agreements between Lilly, Purchaser or any affiliate of Lilly, on the one hand, and any member of the Adverum Board or officers or employees of Adverum, on the other hand;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Lilly’s investment intention.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Certain of Lilly and Purchaser representations and warranties in the Merger Agreement refer to, and are qualified by, the concept of “Purchaser Material Adverse Effect.” “Purchaser Material Adverse Effect” means any change, effect, event, inaccuracy, occurrence, or other matter that has a material adverse effect on the ability of Lilly or Purchaser to timely perform its obligations under the Merger Agreement or to timely consummate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representations and warranties of Lilly, Purchaser and Adverum contained in the Merger Agreement will terminate and expire at the Effective Time. </w:t>
      </w:r>
    </w:p>
    <w:p>
      <w:pPr>
        <w:pStyle w:val="TextBody"/>
        <w:bidi w:val="0"/>
        <w:spacing w:before="240" w:after="0"/>
        <w:jc w:val="left"/>
        <w:rPr>
          <w:rFonts w:ascii="Times New Roman" w:hAnsi="Times New Roman"/>
          <w:sz w:val="20"/>
        </w:rPr>
      </w:pPr>
      <w:r>
        <w:rPr>
          <w:rFonts w:ascii="Times New Roman" w:hAnsi="Times New Roman"/>
          <w:i/>
          <w:sz w:val="20"/>
        </w:rPr>
        <w:t>Covenants of Adverum</w:t>
      </w:r>
      <w:r>
        <w:rPr>
          <w:rFonts w:ascii="Times New Roman" w:hAnsi="Times New Roman"/>
          <w:sz w:val="20"/>
        </w:rPr>
        <w:t xml:space="preserve">. Except (i) as required by applicable law, (ii) as required by the Merger Agreement or the Promissory Note or (iii) with Lilly’s prior written consent (which will not be unreasonably delayed, withheld or conditioned), from the date of the Merger Agreement until the earlier of the Acceptance Time or the date the Merger Agreement is terminated, Adverum will, and will cause its subsidiaries to (A) carry on its business in the ordinary course of business, (B) otherwise maintain and preserve intact its current business organization and keep available the services of current officers and employees and consultants, (C) to preserve its relationships with customers, suppliers, partners, licensors, licensees, distributors, governmental authorities and any others having business dealings with it with the intention that its goodwill and ongoing business will not be materially impaired on the Closing Date, and (D) comply with all laws and perform all obligations under Material Contracts. </w:t>
      </w:r>
    </w:p>
    <w:p>
      <w:pPr>
        <w:pStyle w:val="TextBody"/>
        <w:bidi w:val="0"/>
        <w:spacing w:before="240" w:after="0"/>
        <w:jc w:val="left"/>
        <w:rPr>
          <w:rFonts w:ascii="Times New Roman" w:hAnsi="Times New Roman"/>
          <w:sz w:val="20"/>
        </w:rPr>
      </w:pPr>
      <w:r>
        <w:rPr>
          <w:rFonts w:ascii="Times New Roman" w:hAnsi="Times New Roman"/>
          <w:sz w:val="20"/>
        </w:rPr>
        <w:t xml:space="preserve">During the same time period, Adverum has also agreed, except as set forth in the Disclosure Letter, as required by applicable law, or as required by the Merger Agreement or the Promissory Note, not to, without the prior written consent of Lilly (which will not be unreasonably delayed, withheld or conditioned):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declare, set aside or pay any dividends on or make other distributions (whether in cash, stock or property) in respect of any of its securities or directly or indirectly redeem, repurchase, adjust, split, reverse split, combine, subdivide or otherwise acquire or reclassify any of its securities, subject to certain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pPr>
            <w:r>
              <w:rPr/>
              <w:t>(ii)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sell, pledge, modify, transfer, dispose of or otherwise encumber or grant, or authorize the issuance, sale, pledge, modification, transfer, disposition or other encumbrance of any Adverum securities, subject to certain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pPr>
            <w:r>
              <w:rPr/>
              <w:t>(iii)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required by the terms of an employee benefit plan of Adverum in effect as of the date of the Merger Agreement, (A) increase or decrease the wages, salary or other compensation or benefits with respect to any of Adverum’s or its subsidiaries’ officers, directors, employees or other individual service providers, (B) pay or award, or commit to pay or award, any bonuses, commissions or other incentive compensation or severance, separation, retention or transaction-related payments or benefits, (C) accelerate any rights or benefits, or the vesting or funding of any payments or benefits, under any Adverum employee benefit plan, (D) establish, adopt, enter into, modify, amend or terminate any Adverum employee benefit plan, or (E) hire, engage, promote, terminate (without cause), furlough, or temporarily lay off any employee with annual compensation in excess of $200,000 or any individual independent contractor or consultant with annual compensation in excess of $250,000;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tcPr>
          <w:p>
            <w:pPr>
              <w:pStyle w:val="TableContents"/>
              <w:bidi w:val="0"/>
              <w:spacing w:before="0" w:after="283"/>
              <w:jc w:val="left"/>
              <w:rPr/>
            </w:pPr>
            <w:r>
              <w:rPr/>
              <w:t>(iv)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 any action that would constitute a “mass layoff” or “plant closing” (as defined by WARN) or require notices to employees, or trigger any other obligations or liabilities under WARN or any similar state, local or foreign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pPr>
            <w:r>
              <w:rPr/>
              <w:t>(v)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or release any noncompetition, nonsolicitation, nondisclosure, noninterference, nondisparagement, or other restrictive covenant obligation of any current or former employee or independent contractor;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pPr>
            <w:r>
              <w:rPr/>
              <w:t>(vi)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or propose to amend, its organizational documents (including by merger, consolidation or otherwise) or adopt a stockholders’ rights plan, or enter into any agreement with respect to the voting of any of its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pPr>
            <w:r>
              <w:rPr/>
              <w:t>(vii)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 a recapitalization, reclassification of shares, stock split, reverse stock split or similar transaction or authorize the issuance of any other securities in respect of, in lieu of, or in substitution for shares of any of its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pPr>
            <w:r>
              <w:rPr/>
              <w:t>(viii)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adopt a plan or agreement of complete or partial liquidation, dissolution, merger, consolidation, restructuring, recapitalization or other reorganization of Adverum or its subsidiaries (other than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pPr>
            <w:r>
              <w:rPr/>
              <w:t>(ix)</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clause (xi) below, make any capital expenditures that are above amounts indicated in the capital expenditure budget set forth in the Disclosure Letter;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tcPr>
          <w:p>
            <w:pPr>
              <w:pStyle w:val="TableContents"/>
              <w:bidi w:val="0"/>
              <w:spacing w:before="0" w:after="283"/>
              <w:jc w:val="left"/>
              <w:rPr/>
            </w:pPr>
            <w:r>
              <w:rPr/>
              <w:t>(x)</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 or agree to acquire (by merger, consolidation or acquisition of stock or assets or otherwise) any other person, by purchase of stock, securities or assets, or enter into any joint venture, partnership, strategic alliance, limited liability company or similar arrangement with any third person in any one transaction or series of related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pPr>
            <w:r>
              <w:rPr/>
              <w:t>(xi)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incur, create, assume, become liable for, or materially modify the terms of (including by extending the maturity date thereof) any indebtedness, renew or extend any existing credit or loan arrangements, enter into any “keep well” or other agreement to maintain any financial condition of another person, issue or sell any debt securities, warrants, calls or other rights to acquire any debt securities of Adverum or any of its subsidiaries, or enter into any agreement or arrangement having the economic effect of any of the foregoing, (B) make or forgive any loans or advances to any other person (including any affiliate) (other than to employees and other service providers for business and travel expenses in the ordinary course of business) or change its existing borrowing or lending arrangements for or on behalf of such persons or affiliates, (C) make any capital contributions to, or investments in, any other person or (D) repurchase, prepay, refinance or otherwise reduce or materially change the commitments of any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pPr>
            <w:r>
              <w:rPr/>
              <w:t>(xii)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pledge, transfer, license, sublicense, assign, mortgage, encumber, lease (as lessor), subject to any lien (other than permitted liens) (including under any sale-leaseback transaction or any asset securitization transaction) or otherwise abandon, withdraw or dispose of, in a single transaction or a series of related transactions, any tangible assets with a fair market value in excess of $250,000 in the aggregate;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pPr>
            <w:r>
              <w:rPr/>
              <w:t>(xiii)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transfer, assign, license, sublicense, lease or otherwise encumber or dispose of (whether by merger, stock or asset sale or otherwise) to any person (including any affiliate) any rights to Adverum’s intellectual property, subject to certain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pPr>
            <w:r>
              <w:rPr/>
              <w:t>(xiv)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cancel, dedicate to the public, disclaim, forfeit, reissue, reexamine or abandon without filing a substantially identical counterpart in the same jurisdiction with the same priority or allow to lapse (except with respect to Adverum’s patents expiring in accordance with their terms) any of Adverum’s 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pPr>
            <w:r>
              <w:rPr/>
              <w:t>(xv)</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 to make any filing, pay any fee, or take any other action necessary to prosecute and maintain in full force and effect any of Adverum’s registered 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pPr>
            <w:r>
              <w:rPr/>
              <w:t>(xvi)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in Adverum’s intellectual property that does or would reasonably be expected to materially impair such intellectual property or Adverum’s or any rights of any of its subsidiaries with respect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tcPr>
          <w:p>
            <w:pPr>
              <w:pStyle w:val="TableContents"/>
              <w:bidi w:val="0"/>
              <w:spacing w:before="0" w:after="283"/>
              <w:jc w:val="left"/>
              <w:rPr/>
            </w:pPr>
            <w:r>
              <w:rPr/>
              <w:t>(xvii)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disclose to any person (other than representatives of Lilly and Purchaser) any trade secrets, know-how or confidential or proprietary information included in Adverum’s intellectual property subject to certain exceptions;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pPr>
            <w:r>
              <w:rPr/>
              <w:t>(xviii)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 to take or maintain reasonable measures to protect the confidentiality and value of the Trade Secrets included in any of Adverum’s 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pPr>
            <w:r>
              <w:rPr/>
              <w:t>(xix)</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commence, pay, discharge, settle, compromise or satisfy any litigation that is unrelated to the Transactions, other than solely for monetary consideration not to exceed $250,000;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pPr>
            <w:r>
              <w:rPr/>
              <w:t>(xx)</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its fiscal year, revalue any of its material assets or change any of its material financial, actuarial, reserving or tax accounting methods or practices in any respect, except as required by GAAP or other applicable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pPr>
            <w:r>
              <w:rPr/>
              <w:t>(xxi)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write up, write down or write off the book value of any material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pPr>
            <w:r>
              <w:rPr/>
              <w:t>(xxii)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make, change or revoke any material tax election with respect to Adverum or its subsidiaries, (B) file any material amended tax return, (C) enter into any “closing agreement” as described in Section 7121 of the Code (or any corresponding or similar provision of state, local or non-U.S. law), tax allocation agreement or tax sharing agreement (other than any commercial agreement entered into in the ordinary course of business that does not relate primarily to taxes) or any other agreement with any governmental body relating to or affecting any material tax liability of Adverum or its subsidiaries, (D) extend or waive the application of any statute of limitations regarding the assessment or collection of any material tax with respect to Adverum or its subsidiaries, (E) settle or compromise any material tax liability or tax refund claim with respect to Adverum or its subsidiaries, or (F) fail to pay taxes when due (including any estimated taxes), except, in each case, as required by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pPr>
            <w:r>
              <w:rPr/>
              <w:t>(xxiii)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release or assign any material rights or claims under, or negotiate, enter into, renew, materially amend, materially modify, exercise any material options or material rights of first offer or refusal under or terminate, or defer or delay making payments under, certain of Adverum’s contracts, subject to certain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pPr>
            <w:r>
              <w:rPr/>
              <w:t>(xxiv)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negotiate, amend, modify, extend, enter into or terminate any labor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pPr>
            <w:r>
              <w:rPr/>
              <w:t>(xxv)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abandon, withdraw, terminate, suspend, abrogate, amend or modify in any material respect any material permits;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pPr>
            <w:r>
              <w:rPr/>
              <w:t>(xxvi)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 research or collaboration arrangement (except for certain routine services contracts) that contemplates payments by or to Adverum or any of its subsidiaries in excess of $250,000 in any 12-month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pPr>
            <w:r>
              <w:rPr/>
              <w:t>(xxvii)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cancel or terminate any material insurance policy naming Adverum or any of its subsidiaries as an insured, a beneficiary or a loss payable payee without obtaining substitute insurance coverage;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pPr>
            <w:r>
              <w:rPr/>
              <w:t>(xxviii)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participate in any scheduled meetings or teleconferences with, or correspond in writing, communicate, or consult with the FDA or any similar governmental body without providing Lilly with prior written notice and, within one business day from the time such written notice is delivered, the opportunity to consult with the Adverum with respect to such correspondence, communication or consultation, in each case to the extent permitted by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pPr>
            <w:r>
              <w:rPr/>
              <w:t>(xxix)</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new material line of business, create any new subsidiary, or enter into any agreement or commitment that materially limits or otherwise materially restricts Adverum or its affiliates, including, following the Closing, Lilly and its affiliates from time to time engaging or competing in any line of business or in any geographic area or otherwise enter into any agreements, arrangements or commitments imposing material restrictions on its assets, operations or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pPr>
            <w:r>
              <w:rPr/>
              <w:t>(xxx)</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commence any clinical trial of which Lilly has not been informed prior to the date of the Merger Agreement, (B) unless mandated by any governmental body, discontinue, terminate, suspend or materially modify any ongoing clinical trial, (C) discontinue, terminate, suspend or materially modify any IND-enabling preclinical studies or other material preclinical development activities without first consulting with Lilly in good faith, or (D) accelerate or delay public disclosure of the results of any ongoing clinical trial from any release dates publicly announced prior to the date hereof without first consulting with Lilly in good faith;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pPr>
            <w:r>
              <w:rPr/>
              <w:t>(xxxi)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certain affiliate transactions;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pPr>
            <w:r>
              <w:rPr/>
              <w:t>(xxxii)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agree or commit to take any of the actions described in clauses (i) through (xxx) above. </w:t>
            </w:r>
          </w:p>
        </w:tc>
      </w:tr>
    </w:tbl>
    <w:p>
      <w:pPr>
        <w:pStyle w:val="TextBody"/>
        <w:bidi w:val="0"/>
        <w:spacing w:before="240" w:after="0"/>
        <w:jc w:val="left"/>
        <w:rPr>
          <w:rFonts w:ascii="Times New Roman" w:hAnsi="Times New Roman"/>
          <w:sz w:val="20"/>
        </w:rPr>
      </w:pPr>
      <w:r>
        <w:rPr>
          <w:rFonts w:ascii="Times New Roman" w:hAnsi="Times New Roman"/>
          <w:i/>
          <w:sz w:val="20"/>
        </w:rPr>
        <w:t>Access to Information</w:t>
      </w:r>
      <w:r>
        <w:rPr>
          <w:rFonts w:ascii="Times New Roman" w:hAnsi="Times New Roman"/>
          <w:sz w:val="20"/>
        </w:rPr>
        <w:t xml:space="preserve">. From and after the date of the Merger Agreement until the earlier of the Acceptance Time and the termination of the Merger Agreement in accordance with its terms, Adverum will, and will cause its subsidiaries to, (i) upon reasonable advance notice (A) give Lilly and Purchaser and their respective representatives reasonable access during normal business hours to relevant employees and facilities and to relevant books, contracts and records of Adverum and its subsidiaries, (B) permit Lilly and Purchaser to make such non-invasive inspections as they may reasonably request and (C) cause its officers to furnish Lilly and Purchaser with such financial and operating data and other information with respect to the business, properties and personnel of Adverum and its subsidiaries as Lilly or Purchaser may from time to time reasonably request, in each case of clauses (A)-(C), solely for the purpose of effectuating the Transactions and integration planning, and (ii) reasonably promptly notify Lilly of any Healthcare Correspondence (as defined in the Merger Agreement), subject to certain exceptions. </w:t>
      </w:r>
    </w:p>
    <w:p>
      <w:pPr>
        <w:pStyle w:val="TextBody"/>
        <w:bidi w:val="0"/>
        <w:spacing w:before="240" w:after="0"/>
        <w:jc w:val="left"/>
        <w:rPr>
          <w:rFonts w:ascii="Times New Roman" w:hAnsi="Times New Roman"/>
          <w:sz w:val="20"/>
        </w:rPr>
      </w:pPr>
      <w:r>
        <w:rPr>
          <w:rFonts w:ascii="Times New Roman" w:hAnsi="Times New Roman"/>
          <w:i/>
          <w:sz w:val="20"/>
        </w:rPr>
        <w:t>Acquisition Proposals</w:t>
      </w:r>
      <w:r>
        <w:rPr>
          <w:rFonts w:ascii="Times New Roman" w:hAnsi="Times New Roman"/>
          <w:sz w:val="20"/>
        </w:rPr>
        <w:t xml:space="preserve">. Adverum will not, and will cause its directors and officers not to, and will instruct its managers, members, employees, accountants, consultants, legal counsel, financial advisors and agents and other agents and representatives (collectively with directors and officers, “Representatives”) not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or indirectly initiate, solicit or knowingly encourage or knowingly facilitate (including by way of providing information) any inquiries, proposals or offers, or the making of any submission or announcement of any inquiry, proposal or offer that constitutes or would reasonably be expected to lead to any Acquisition Proposal (as described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or indirectly engage in, enter into or participate in any discussions or negotiations with any person with respect to any Acquisition Proposal;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any non-public information to, or afford access to the business, properties, assets, books or records of Adverum and its subsidiaries to, any person (other than Lilly, Purchaser or any designees of Lilly or Purchaser) in connection with any Acquisition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Adverum will, and will cause its directors and officers to, and will direct its other Representatives to, (i) immediately cease any solicitation, discussions or negotiations with any person (other than Lilly, Purchaser or any designees of Lilly or Purchaser) with respect to any Acquisition Proposal, (ii) as soon as reasonably practicable (and in any event within one business day) request in writing the prompt return or destruction of all confidential information provided by or on behalf of Adverum or its subsidiaries to any such person or developed using any such information and (iii) as soon as reasonably practicable (and in any event within one business day) terminate access to any physical or electronic data rooms relating to a possible Acquisition Proposal. Notwithstanding the foregoing, Adverum and its Representatives may, solely in response to a </w:t>
      </w:r>
      <w:r>
        <w:rPr>
          <w:rFonts w:ascii="Times New Roman" w:hAnsi="Times New Roman"/>
          <w:i/>
          <w:sz w:val="20"/>
        </w:rPr>
        <w:t>bona fide</w:t>
      </w:r>
      <w:r>
        <w:rPr>
          <w:rFonts w:ascii="Times New Roman" w:hAnsi="Times New Roman"/>
          <w:sz w:val="20"/>
        </w:rPr>
        <w:t xml:space="preserve"> inquiry or proposal that did not result from a material breach of the acquisitions proposal section of the Merger Agreement, inform a person that has made or, to Adverum’s knowledge, is considering making an Acquisition Proposal of the terms of the Merger Agreement regarding Acquisition Proposals.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provision of the Merger Agreement, if at any time following the date of the Merger Agreement and prior to the Acceptance Time (i) Adverum has received a written </w:t>
      </w:r>
      <w:r>
        <w:rPr>
          <w:rFonts w:ascii="Times New Roman" w:hAnsi="Times New Roman"/>
          <w:i/>
          <w:sz w:val="20"/>
        </w:rPr>
        <w:t>bona fide</w:t>
      </w:r>
      <w:r>
        <w:rPr>
          <w:rFonts w:ascii="Times New Roman" w:hAnsi="Times New Roman"/>
          <w:sz w:val="20"/>
        </w:rPr>
        <w:t xml:space="preserve"> Acquisition Proposal that did not, directly or indirectly, result from a material breach of the acquisitions proposal section of the Merger Agreement, and (ii) the Adverum Board or a committee thereof determines, in good faith, after consultation with outside counsel and a financial advisor, that such Acquisition Proposal constitutes or is reasonably likely to lead to or result in a Superior Proposal (as described below), then Adverum may (A) furnish information with respect to Adverum to the person making such Acquisition Proposal and its Representatives, and (B) participate in discussions or negotiations with such person and its Representatives regarding such Acquisition Proposal; however, Adverum may only take the actions described in the foregoing clauses (A) or (B) if the Adverum Board determines in good faith, after consultation with outside counsel, that the failure to take any such action would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 or would reasonably be expected to be, inconsistent with its fiduciary duties under applicable law; however, (x) Adverum will not, and will instruct its Representatives not to, disclose any material non-public information to such person unless Adverum has, or first enters into, a confidentiality agreement with such person with terms governing confidentiality that, taken as a whole, are not materially less restrictive or materially more favorable to the other person than those contained in the Confidentiality Agreement (as defined below), and that does not prohibit Adverum from providing any information to Lilly in accordance with its non-solicitation obligations or otherwise prohibit Adverum from complying with its non-solicitation obligations and (y) Adverum will, concurrently or as promptly as reasonably practicable thereafter, and in any event within one business day, provide or make available to Lilly any material non-public information concerning Adverum provided or made available to such other person that was not previously provided or made available to Lilly and Purchaser. Adverum will not, directly or indirectly, release any person from, waive, amend or modify any provision of, or grant permission under or fail to enforce, any standstill provision in any agreement to which Adverum is a party. </w:t>
      </w:r>
    </w:p>
    <w:p>
      <w:pPr>
        <w:pStyle w:val="TextBody"/>
        <w:bidi w:val="0"/>
        <w:spacing w:before="240" w:after="0"/>
        <w:jc w:val="left"/>
        <w:rPr>
          <w:rFonts w:ascii="Times New Roman" w:hAnsi="Times New Roman"/>
          <w:sz w:val="20"/>
        </w:rPr>
      </w:pPr>
      <w:r>
        <w:rPr>
          <w:rFonts w:ascii="Times New Roman" w:hAnsi="Times New Roman"/>
          <w:sz w:val="20"/>
        </w:rPr>
        <w:t xml:space="preserve">Adverum will promptly (and in any event within one business day) notify Lilly in writing (email being acceptable) of the receipt of an Acquisition Proposal, inquiry, request for information or other indication by any person that it is considering making an Acquisition Proposal, or any inquiry, proposal or offer that could reasonably be expected to lead to an Acquisition Proposal. Adverum will provide Lilly promptly (and in any event within one business day) the material terms and conditions of any such inquiry or Acquisition Proposal (including any subsequent amendments, modifications or supplements thereto), together with copies of all material documents related thereto, and the identity of the person making any such inquiry or Acquisition Proposal, and will keep Lilly reasonably informed of any material developments, discussions or negotiations regarding any Acquisition Proposal (including any changes to the terms thereof).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of the Merger Agreement, the Adverum Board and each committee thereof will not approve or recommend, or propose publicly to approve or recommend, or authorize, cause or permit Adverum to enter into any letter of intent, memorandum of understanding, agreement in principle, acquisition agreement, license agreement, merger agreement, joint venture agreement, partnership agreement, collaboration agreement, revenue-sharing agreement or similar definitive agreement (other than a confidentiality agreement) relating to or that would reasonably be expected to lead to any Acquisition Proposal (an “Alternative Acquisition Agreement”) or take any of the following 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withdrawal, qualification or modification (in a manner adverse to Lilly or Purchaser) of the Adverum Board’s recommendation that holders of the Shares accept the Offer and tender their Shares pursuant to the Offer (the “Adverum Board Recommendation”) or the public announcement of any proposal to withdraw, qualify or modify (in a manner adverse to Lilly or Purchaser) the Adverum Board Recommendation (or any resolution or agreement to take any such 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by Adverum, within 10 business days of the commencement of a tender or exchange offer for Shares that constitutes an Acquisition Proposal by a person other than Lilly or any of its affiliates, to file a Schedule 14D-9 pursuant to Rule 14e-2 and Rule 14d-9 promulgated under the Exchange Act recommending that the holders of the Shares reject such Acquisition Proposal and not tender any Shares into such tender or exchange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adoption, endorsement, approval or recommendation (or any public proposal with respect to the same) of any Acquisition Proposal (or any resolution or agreement to take such 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to include the Adverum Board Recommendation in the Schedule 14D-9 when disseminated to holders of Shares pursuant to the terms of the Merger Agreement;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by the Adverum Board or a committee thereof to publicly reaffirm the Adverum Board Recommendation following receipt by Adverum of a publicly announced Acquisition Proposal by the earlier of (i) 10 business days of receiving a written request from Lilly to provide such public reaffirmation, and (ii) two business days prior to the then-scheduled expiration date; however, Lilly may deliver only one such request with respect to any single Acquisition Proposal (other than with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respect to material amendments, modifications or supplements thereto) (any action described in this bullet and the preceding four bullets being referred to herein as a “Change of Board Recommendation”).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Despite the foregoing or any other provision of the Merger Agreement, prior to the Acceptance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Adverum may terminate the Merger Agreement to enter into an Alternative Acquisition Agreement if (A) Adverum receives an Acquisition Proposal that did not, directly or indirectly, result from a material breach of the acquisition proposals section of the Merger Agreement, and that the Adverum Board or a committee thereof determines in good faith, after consultation with outside counsel, constitutes a Superior Proposal, (B) Adverum has notified Lilly in writing that it intends to terminate the Merger Agreement to enter into an Alternative Acquisition Agreement, and (C) no earlier than the end of the Notice Period (as defined below), the Adverum Board or any committee thereof determines in good faith that the Acquisition Proposal that is subject of the notice delivered pursuant to the acquisition proposals section of the Merger Agreement continues to constitute a Superior Proposal and that the failure to terminate the Merger Agreement would reasonably be expected to be inconsistent with its fiduciary duties under applicable law, after consultation with outside counsel and taking into consideration the terms of any proposed amendment or modification to the Merger Agreement that Lilly has irrevocably committed to make during the Notice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Adverum Board or a committee thereof may make a Change of Board Recommendation if (A) Adverum receives an Acquisition Proposal that did not, directly or indirectly, result from a material breach of the acquisition proposals section of the Merger Agreement, and the Adverum Board or a committee thereof determines in good faith, after consultation with outside counsel, that the Acquisition Proposal constitutes a Superior Proposal, (B) Adverum has notified Lilly in writing that it intends to effect a Change of Board Recommendation and (C) no earlier than the end of the Notice Period, the Adverum Board or a committee thereof determines in good faith that the failure to make a Change of Board Recommendation would reasonably be expected to be inconsistent with its fiduciary duties under applicable law and that the Acquisition Proposal that is subject of the notice delivered pursuant to the acquisition proposals section of the Merger Agreement continues to constitute a Superior Proposal, after consultation with outside counsel and taking into consideration the terms of any proposed amendment or modification to the Merger Agreement that Lilly has irrevocably committed to make during the Notice Period;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in connection with an Acquisition Proposal, the Adverum Board or a committee thereof may make a Change of Board Recommendation in response to an Intervening Event (as described below) if (A) Adverum has notified Lilly in writing that it intends to effect a Change of Board Recommendation, and (B) no earlier than the end of the Notice Period, the Adverum Board or any committee thereof determines in good faith, after consultation with outside counsel and considering the terms of any proposed amendment or modification to the Merger Agreement that Lilly has irrevocably committed to make during the Notice Period, that the failure to effect a Change of Board Recommendation in response to such Intervening Event would reasonably be expected to be inconsistent with its fiduciary duties under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event the Merger Agreement is terminated by Adverum in order to enter into an Alternative Acquisition Agreement in respect of such Superior Proposal, or upon a Change of Board Recommendation, Adverum will pay or cause to be paid to Lilly the Adverum Termination Fee described in Section 11 — “The Merger Agreement; Other Agreements — Merger Agreement — Effect of Termination.”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in the Merger Agreement prohibits (i) the Adverum Board or a committee thereof from (A) taking and disclosing to holders of Shares a position contemplated by Rule 14e-2 or Rule 14d-9 promulgated under the Exchange Act or (B) making any public statement if the Adverum Board or a committee thereof determines, in good faith, after consultation with outside counsel, that the failure to make such statement would reasonably be expected to be inconsistent with its fiduciary duties under applicable law or (ii) Adverum or the Adverum Board from making any disclosure required under the Exchange Act; however, any such action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would otherwise constitute a Change of Board Recommendation will be made only in compliance with the acquisition proposals section of the Merger Agreement (it being understood that: (x) any “stop, look and listen” letter or similar communication limited to the information described in Rule 14d-9(f) under the Exchange Act and (y) any disclosure of information to holders of Shares that only describes Adverum’s receipt of an Acquisition Proposal and the operation of the Merger Agreement with respect thereto and contains a statement that the Adverum Board has not effected a Change of Board Recommendation, in each case, will be deemed not to be a Change of Board Recommendation). </w:t>
      </w:r>
    </w:p>
    <w:p>
      <w:pPr>
        <w:pStyle w:val="TextBody"/>
        <w:bidi w:val="0"/>
        <w:spacing w:before="240" w:after="0"/>
        <w:jc w:val="left"/>
        <w:rPr/>
      </w:pPr>
      <w:r>
        <w:rPr/>
        <w:t>“</w:t>
      </w:r>
      <w:r>
        <w:rPr>
          <w:rFonts w:ascii="Times New Roman" w:hAnsi="Times New Roman"/>
          <w:sz w:val="20"/>
        </w:rPr>
        <w:t xml:space="preserve">Acquisition Proposal” means any indication of interest, request for non-public information, inquiry, offer or proposal made or renewed by a person or group (other than Lilly or Purchaser) relating to any (i) direct or indirect issuance, exchange, purchase or other acquisition (in each case, whether in a single transaction or a series of related transactions) by any person or group, whether from Adverum or any other person(s), of Shares or other Adverum securities representing more than 20% of Adverum common stock or other voting or equity securities of Adverum outstanding after giving effect to the consummation of such issuance, exchange, purchase or other acquisition, including pursuant to a tender offer or exchange offer by a person or group that, if consummated in accordance with its terms, would result in such person or group beneficially owning more than 20% of Adverum common stock outstanding after giving effect to the consummation of such tender or exchange offer, (ii) direct or indirect purchase, exchange, transfer or other acquisition (including by license, partnership, collaboration, distribution, disposition or revenue-sharing arrangement) (in each case, whether in a single transaction or a series of related transactions) by any person or group, or stockholders of any such person or group, of more than 20% of the consolidated total assets (including through the acquisition of stock in its subsidiaries) of Adverum and its subsidiaries, taken as a whole (measured by the fair market value as of the date of such purchase or acquisition); or (iii) merger, consolidation, business combination, recapitalization, reorganization, liquidation, dissolution or other transaction (in each case, whether in a single transaction or a series of related transactions) involving Adverum or its subsidiaries pursuant to which any person or group, or stockholders of any such person or group (other than Adverum), would hold Shares or other Adverum securities representing more than 20% of Adverum common stock or other Adverum securities outstanding after giving effect to the consummation of such transaction. </w:t>
      </w:r>
    </w:p>
    <w:p>
      <w:pPr>
        <w:pStyle w:val="TextBody"/>
        <w:bidi w:val="0"/>
        <w:spacing w:before="240" w:after="0"/>
        <w:jc w:val="left"/>
        <w:rPr/>
      </w:pPr>
      <w:r>
        <w:rPr/>
        <w:t>“</w:t>
      </w:r>
      <w:r>
        <w:rPr>
          <w:rFonts w:ascii="Times New Roman" w:hAnsi="Times New Roman"/>
          <w:sz w:val="20"/>
        </w:rPr>
        <w:t xml:space="preserve">Superior Proposal” means any written </w:t>
      </w:r>
      <w:r>
        <w:rPr>
          <w:rFonts w:ascii="Times New Roman" w:hAnsi="Times New Roman"/>
          <w:i/>
          <w:sz w:val="20"/>
        </w:rPr>
        <w:t>bona fide</w:t>
      </w:r>
      <w:r>
        <w:rPr>
          <w:rFonts w:ascii="Times New Roman" w:hAnsi="Times New Roman"/>
          <w:sz w:val="20"/>
        </w:rPr>
        <w:t xml:space="preserve"> (as reasonably determined by the Adverum Board in good faith) Acquisition Proposal received after the date of the Merger Agreement that did not, directly or indirectly, result from a material breach of the acquisition proposals section of the Merger Agreement (except the references in the definition thereof to “20%” will be replaced by “100%”) that the Adverum Board or a committee thereof has determined in good faith, after consultation with outside counsel and its independent financial advisor, is superior to the Acquisition Proposal reflected in the Merger Agreement, and is reasonably likely to be consummated in accordance with its terms, taking into account all of the terms and conditions (including all of the financial, regulatory, financing, conditionality, legal and other terms, as well as the certainty of closing) and all other aspects of such Acquisition Proposal (including any changes to the terms of the Merger Agreement proposed by Lilly). </w:t>
      </w:r>
    </w:p>
    <w:p>
      <w:pPr>
        <w:pStyle w:val="TextBody"/>
        <w:bidi w:val="0"/>
        <w:spacing w:before="240" w:after="0"/>
        <w:jc w:val="left"/>
        <w:rPr/>
      </w:pPr>
      <w:r>
        <w:rPr/>
        <w:t>“</w:t>
      </w:r>
      <w:r>
        <w:rPr>
          <w:rFonts w:ascii="Times New Roman" w:hAnsi="Times New Roman"/>
          <w:sz w:val="20"/>
        </w:rPr>
        <w:t xml:space="preserve">Intervening Event” means a change, effect, event, circumstance, result, development, condition, occurrence, or other matter material to Adverum that was not known to the Adverum Board or any committee thereof on the date of the Merger Agreement (or if known, the consequences of which were not known or reasonably foreseeable to the Adverum Board or any committee thereof as of the date of the Merger Agreement), which change, effect, event, circumstance, result, development, condition, occurrence, or other matter, or any consequence thereof, becomes known to or reasonably foreseeable by the Adverum Board or any committee thereof prior to the Acceptance Time; however, in no event will any Acquisition Proposal or any inquiry, offer, or proposal that constitutes or would reasonably be expected to lead to an Acquisition Proposal constitute an Intervening Event; however, in no event will any of the following constitute or contribute to an Intervening Event: (i) changes in the financial or securities markets or general economic or political conditions in the United States, (ii) changes (including changes of applicable law) or conditions generally affecting the industry in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Adverum and its subsidiaries, taken as a whole, operate, or (iii) Adverum’s meeting or exceeding any internal or published budgets, projections, forecasts or predictions of financial performance for any period. </w:t>
      </w:r>
    </w:p>
    <w:p>
      <w:pPr>
        <w:pStyle w:val="TextBody"/>
        <w:bidi w:val="0"/>
        <w:spacing w:before="240" w:after="0"/>
        <w:jc w:val="left"/>
        <w:rPr/>
      </w:pPr>
      <w:r>
        <w:rPr/>
        <w:t>“</w:t>
      </w:r>
      <w:r>
        <w:rPr>
          <w:rFonts w:ascii="Times New Roman" w:hAnsi="Times New Roman"/>
          <w:sz w:val="20"/>
        </w:rPr>
        <w:t xml:space="preserve">Notice Period” means the period beginning at 5:00 p.m. New York City Time, on the day of delivery by Adverum to Lilly of a notice regarding an Acquisition Proposal delivered pursuant to the Merger Agreement (even if such notice is delivered after 5:00 p.m. New York City Time) and ending on the fourth business day thereafter at 5:00 p.m. New York City Time; however, with respect to any change in the financial terms or other material terms of any Superior Proposal, the Notice Period will extend until 5:00 p.m. New York City Time, on the second business day after delivery of such revised notice; however, if fewer than five business days remain prior to the scheduled Expiration Time and Purchaser has not extended the Offer pursuant to the terms of the Merger Agreement, the Notice Period will be the period beginning upon delivery by Adverum to Lilly of such a notice and ending 24 hours thereafter. </w:t>
      </w:r>
    </w:p>
    <w:p>
      <w:pPr>
        <w:pStyle w:val="TextBody"/>
        <w:bidi w:val="0"/>
        <w:spacing w:before="240" w:after="0"/>
        <w:jc w:val="left"/>
        <w:rPr>
          <w:rFonts w:ascii="Times New Roman" w:hAnsi="Times New Roman"/>
          <w:sz w:val="20"/>
        </w:rPr>
      </w:pPr>
      <w:r>
        <w:rPr>
          <w:rFonts w:ascii="Times New Roman" w:hAnsi="Times New Roman"/>
          <w:i/>
          <w:sz w:val="20"/>
        </w:rPr>
        <w:t>Employee Matters</w:t>
      </w:r>
      <w:r>
        <w:rPr>
          <w:rFonts w:ascii="Times New Roman" w:hAnsi="Times New Roman"/>
          <w:sz w:val="20"/>
        </w:rPr>
        <w:t xml:space="preserve">. Lilly will, and will cause the Surviving Corporation to, for a 12-month period following the Closing Date (or, if earlier, until the date of the termination of employment of a Current Employee, as defined below), provide each individual employed by Adverum or its subsidiaries immediately prior to the Effective Time (each, a “Current Employee”): (i) base salary or wage rate and a target annual cash incentive compensation opportunity that is, in the aggregate, at least as favorable as the base salary or wage rate and target annual cash incentive opportunity provided by Adverum to the Current Employee as of immediately prior to October 24, 2025; and (ii) broad based employee benefits (excluding long-term cash incentive opportunities, severance, equity and equity-based awards, retention, transaction, change in control-related payments or benefits, nonqualified deferred compensation, defined benefit plan and post-employment or retiree welfare benefits, collectively, the “Excluded Benefits”) that are substantially comparable in the aggregate to those broad-based employee benefits (other than Excluded Benefits) (x) provided to the Current Employees under the Company Plans (as defined in the Merger Agreement) that are set forth on the Disclosure Letter and in effect as of immediately prior to the Effective Time, (y) provided to similarly situated employees of Lilly (or its relevant affiliate), or (z) a combination of the foregoing, as determined in Lilly’s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Lilly will use commercially reasonable efforts to, and will use commercially reasonable efforts to cause the Surviving Corporation to, cause service rendered by each Current Employee to Adverum or its subsidiaries prior to the Effective Time to be taken into account with respect to only the employee benefit plans of Lilly and the Surviving Corporation which provide benefits for vacation, paid time-off or 401(k) savings (and for the avoidance of doubt, not for any purpose under any Excluded Benefit), for purposes of determining eligibility to participate, level of benefits and vesting, to the same extent and for the same purpose as such service was taken into account under the corresponding Company Plan immediately prior to the Effective Time; however, the foregoing will not apply to (i) the extent that its application would result in a duplication of benefits or compensation with respect to the same period of service, (ii) any benefit plan that is a frozen plan or that provides benefits to a grandfathered employee population or (iii) to the extent such service would not be credited to similarly situated employees of Lilly or its affiliates. Without limiting the generality of the foregoing, for the plan year in which the Effective Time occurs, Lilly will, or will cause the Surviving Corporation to, use commercially reasonable efforts to waive for the Current Employees any eligibility requirements, waiting periods, actively-at-work requirements or pre-existing condition limitations under any health plan of Lilly or the Surviving Corporation for any condition for which they would have been entitled to coverage under the corresponding Company Plan in which they participated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If requested by Lilly, Adverum will, at least one business day prior to the Effective Time, (i) adopt written resolutions (or take other necessary and appropriate actions) to terminate each Company Plan intended to be qualified under Section 401(a) of the Code (the “401(k) Plan”), (ii) cease all contributions to the 401(k) Plan for any compensation paid after such termination date, and (iii) fully vest all participants under the 401(k) Plan, with such termination, cessation and vesting to be effective no later than the business day preceding the Effective Time. Adverum will provide Lilly with an advance copy of such proposed resolutions no later than five business days prior to the date the resolutions are to be approved and will incorporate any and all reasonable comments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made by Lilly to such resolutions. No provision of the Merger Agreement (i) prohibits Lilly, Purchaser or the Surviving Corporation from amending, modifying or terminating any Company Plan or any other benefit or compensation plan, program, contract, agreement, policy or arrangement, (ii) requires Lilly, Purchaser or the Surviving Corporation to keep any person employed or otherwise providing services for any period of time, (iii) constitutes or will be construed to constitute the establishment or adoption of, or amendment to, any Company Plan or any other benefit or compensation plan, program, contract, agreement, policy or arrangement or (iv) confers on any Current Employee or any other person (including any beneficiary or dependent thereof) not a party to the Merger Agreement any third-party beneficiary or similar rights or remedies. </w:t>
      </w:r>
    </w:p>
    <w:p>
      <w:pPr>
        <w:pStyle w:val="TextBody"/>
        <w:bidi w:val="0"/>
        <w:spacing w:before="240" w:after="0"/>
        <w:jc w:val="left"/>
        <w:rPr>
          <w:rFonts w:ascii="Times New Roman" w:hAnsi="Times New Roman"/>
          <w:sz w:val="20"/>
        </w:rPr>
      </w:pPr>
      <w:r>
        <w:rPr>
          <w:rFonts w:ascii="Times New Roman" w:hAnsi="Times New Roman"/>
          <w:i/>
          <w:sz w:val="20"/>
        </w:rPr>
        <w:t>Directors’ and Officers’ Indemnification and Insurance</w:t>
      </w:r>
      <w:r>
        <w:rPr>
          <w:rFonts w:ascii="Times New Roman" w:hAnsi="Times New Roman"/>
          <w:sz w:val="20"/>
        </w:rPr>
        <w:t xml:space="preserve">. Lilly agreed that all rights to indemnification and exculpation from liability for acts or omissions occurring on or prior to the Closing Date existing as of October 24, 2025 in favor of any of the current or former directors, managers, officers or employees of Adverum (each an “Indemnified Party” and collectively the “Indemnified Parties”), as provided in the respective organizational documents or in indemnification agreements set forth on the Disclosure Letter, to the extent made available to Lilly and as in effect as of October 24, 2025, will survive the Effective Time and continue in full force and effect in accordance with their respective terms for a period of not less than six years after the Closing Date. From and after the Effective Time, Lilly shall cause the Surviving Corporation and its subsidiaries to comply with and honor these obligations. On or prior to the Closing Date, Adverum will pay (in full) for a non-cancelable run-off insurance policy of not less than the existing coverage amount, for a period of six years after the Closing Date, to provide insurance coverage for events, acts or omissions occurring on or prior to the Closing Date for all Indemnified Parties and other persons who were covered under the directors’ and officers’ insurance policy maintained by Adverum as of October 24, 2025 and made available to Lilly, which policy contains terms and conditions no less favorable in the aggregate to the insured persons than such coverage maintained by Adverum. In addition, in the event that the Surviving Corporation (or its successors or assigns) (i) consolidates with or merge into any other entity and is not the continuing or surviving corporation or entity of such consolidation or merger or (ii) transfers or conveys all or substantially all of its properties and assets to any Person, Lilly will take all necessary action so that the successors or assigns of the Surviving Corporation succeed to these indemnification obligations. </w:t>
      </w:r>
    </w:p>
    <w:p>
      <w:pPr>
        <w:pStyle w:val="TextBody"/>
        <w:bidi w:val="0"/>
        <w:spacing w:before="240" w:after="0"/>
        <w:jc w:val="left"/>
        <w:rPr>
          <w:rFonts w:ascii="Times New Roman" w:hAnsi="Times New Roman"/>
          <w:sz w:val="20"/>
        </w:rPr>
      </w:pPr>
      <w:r>
        <w:rPr>
          <w:rFonts w:ascii="Times New Roman" w:hAnsi="Times New Roman"/>
          <w:i/>
          <w:sz w:val="20"/>
        </w:rPr>
        <w:t>Further Action; Efforts</w:t>
      </w:r>
      <w:r>
        <w:rPr>
          <w:rFonts w:ascii="Times New Roman" w:hAnsi="Times New Roman"/>
          <w:sz w:val="20"/>
        </w:rPr>
        <w:t xml:space="preserve">. Each of Lilly, Purchaser and Adverum will (i) use its reasonable best efforts to promptly make all filings and promptly obtain all authorizations, consents, orders, clearances and approvals of all governmental bodies and officials that may be or become necessary or advisable for its execution and delivery of, and performance of its obligations pursuant to, the Merger Agreement, (ii) cooperate fully with the other party in promptly seeking to obtain all such authorizations, consents, orders, clearances and approvals and (iii) provide as promptly as practicable such information to any governmental body as such governmental body may request in connection herewith. In furtherance of the foregoing, each of Lilly, Purchaser and Adverum agrees to file promptly (but in no event later than 20 business days after the date of the Merger Agreement) the filings and notifications required under any Antitrust and FDI Laws (each as defined in the Merger Agreement) applicable to the Transactions and to supply as promptly as practicable to the appropriate governmental authorities any additional information and documentary material that may be requested pursuant to such Antitrust and FDI Laws. None of Adverum, on the one hand, or Lilly, on the other hand, may, without the consent of the other (such consent not to unreasonably withheld, conditioned or delayed), (x) cause any such filing or submission applicable to it to be withdrawn or refiled for any reason, including to provide the applicable governmental body with additional time to review any of the transactions contemplated by the Merger Agreement or (y) consent to any voluntary extension of any statutory deadline or waiting period or to any voluntary delay of the consummation of the transactions contemplated by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Neither Lilly nor any of its affiliates is required to (A) propose, negotiate, commit to or effect, by consent decree, hold separate order, or otherwise, the sale, license, divestiture or disposition of any assets of Lilly or its affiliates or Adverum, (B) enter into any behavioral limitations, conduct restrictions or other commitments with respect to any assets or business of Lilly or its affiliates or Adverum, or (C) defend through litigation or otherwise formally oppose any claim or determination (whether judicial or administrative in nature) by any governmental body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third party that would restrain, prevent, or delay the consummation of the transactions contemplated by the Merger Agreement. Adverum shall not take or propose to undertake any divestiture, sale, disposition, license, hold separate or other structural or conduct relief without Lilly’s prior written consent (which may be given or withheld in Lilly’s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Each of Lilly, on the one hand, and Adverum, on the other hand, shall promptly notify the other of any communication it or any of its affiliates receives from any governmental body relating to the matters that are the subject of the Merger Agreement and, to the extent practicable, permit the other to review in advance any proposed communication by such party to any governmental body (including any filings required under any Antitrust and FDI Laws, each as defined in the Merger Agreement). Lilly, on the one hand, and Adverum, on the other hand, shall, to the extent practicable, consult with the other in advance of, and, to the extent permitted by the applicable governmental body, give the other an opportunity to participate in, any meeting with any governmental body in respect of any filings, investigation (including any settlement of the investigation), litigation or other inquiry. Lilly, on the one hand, and Adverum, on the other hand, will coordinate and cooperate fully with each other in exchanging such information and providing such assistance as the other may reasonably request in connection with the foregoing and in seeking early termination of any applicable waiting periods, including under any applicable Antitrust and FDI Laws. Lilly, on the one hand, and Adverum, on the other hand, will provide each other with copies of all correspondence, filings or communications between them or any of their representatives, on the one hand, and any governmental body or members of its staff, on the other hand, with respect to the Merger Agreement and/or the transactions contemplated by the Merger Agreement; provided, however, that such materials may be redacted, to the extent permitted by any applicable law, (i) to remove references concerning the valuation of the business of Adverum or the value of Adverum after the consummation of the transactions contemplated by the Merger Agreement, (ii) as necessary to comply with contractual arrangements in effect as of the execution of the Merger Agreement and (iii) as necessary to address reasonable attorney-client or other privilege or work product protection, to the extent that that such attorney-client or other privilege or work product protection are not governed by a common interest privilege or doctrine. Notwithstanding the foregoing, in the event Lilly and Adverum disagree, Lilly shall retain control over the strategy to gain regulatory clearance or approval before any governmental bodies or in any action brought to enjoin the transactions contemplated the Merger Agreement pursuant to any FDI and Antitrust Law. </w:t>
      </w:r>
    </w:p>
    <w:p>
      <w:pPr>
        <w:pStyle w:val="TextBody"/>
        <w:bidi w:val="0"/>
        <w:spacing w:before="240" w:after="0"/>
        <w:jc w:val="left"/>
        <w:rPr>
          <w:rFonts w:ascii="Times New Roman" w:hAnsi="Times New Roman"/>
          <w:sz w:val="20"/>
        </w:rPr>
      </w:pPr>
      <w:r>
        <w:rPr>
          <w:rFonts w:ascii="Times New Roman" w:hAnsi="Times New Roman"/>
          <w:i/>
          <w:sz w:val="20"/>
        </w:rPr>
        <w:t>Approval of Compensation Actions</w:t>
      </w:r>
      <w:r>
        <w:rPr>
          <w:rFonts w:ascii="Times New Roman" w:hAnsi="Times New Roman"/>
          <w:sz w:val="20"/>
        </w:rPr>
        <w:t xml:space="preserve">. Prior to the Acceptance Time, the compensation committee of the Adverum Board will take all such actions as may be required to approve, as an “employment compensation, severance, or other employee benefit arrangement” within the meaning of Rule 14d-10(d)(1) under the Exchange Act, each agreement, arrangement or understanding between Adverum or any of its affiliates and any of the officers, directors or employees of Adverum that are effective as of the date of the Merger Agreement pursuant to which compensation is paid to such officer, director or employee and will take all other action reasonably necessary to satisfy the requirements of the non-exclusive safe harbor set forth in Rule 14d-10(d)(2) under the Exchange Act. </w:t>
      </w:r>
    </w:p>
    <w:p>
      <w:pPr>
        <w:pStyle w:val="TextBody"/>
        <w:bidi w:val="0"/>
        <w:spacing w:before="240" w:after="0"/>
        <w:jc w:val="left"/>
        <w:rPr>
          <w:rFonts w:ascii="Times New Roman" w:hAnsi="Times New Roman"/>
          <w:sz w:val="20"/>
        </w:rPr>
      </w:pPr>
      <w:r>
        <w:rPr>
          <w:rFonts w:ascii="Times New Roman" w:hAnsi="Times New Roman"/>
          <w:i/>
          <w:sz w:val="20"/>
        </w:rPr>
        <w:t xml:space="preserve">Stockholder Litigation. </w:t>
      </w:r>
      <w:r>
        <w:rPr>
          <w:rFonts w:ascii="Times New Roman" w:hAnsi="Times New Roman"/>
          <w:sz w:val="20"/>
        </w:rPr>
        <w:t xml:space="preserve">Adverum will promptly (and in any event within 48 hours) notify Lilly of any actions, suits or claims instituted against Adverum, its subsidiaries or any of their directors or officers, in each case, relating to the Merger Agreement and the Transactions (“Stockholder Litigation”). Lilly will have the right to participate in the defense and settlement of any such Stockholder Litigation, Adverum will consult with Lilly (which advice Adverum will consider in good faith) regarding the defense of any such Stockholder Litigation, and Adverum will not settle any Stockholder Litigation without the prior written consent of Lilly (not to be unreasonably withheld, delayed or conditioned), subject to certain exceptions. Adverum will notify Lilly promptly of the commencement or written threat of any proceedings of which it has received notice or become aware and will keep Lilly promptly and reasonably informed regarding any such proceedings. </w:t>
      </w:r>
    </w:p>
    <w:p>
      <w:pPr>
        <w:pStyle w:val="TextBody"/>
        <w:bidi w:val="0"/>
        <w:spacing w:before="240" w:after="0"/>
        <w:jc w:val="left"/>
        <w:rPr>
          <w:rFonts w:ascii="Times New Roman" w:hAnsi="Times New Roman"/>
          <w:sz w:val="20"/>
        </w:rPr>
      </w:pPr>
      <w:r>
        <w:rPr>
          <w:rFonts w:ascii="Times New Roman" w:hAnsi="Times New Roman"/>
          <w:i/>
          <w:sz w:val="20"/>
        </w:rPr>
        <w:t>Other Covenants and Agreements</w:t>
      </w:r>
      <w:r>
        <w:rPr>
          <w:rFonts w:ascii="Times New Roman" w:hAnsi="Times New Roman"/>
          <w:sz w:val="20"/>
        </w:rPr>
        <w:t xml:space="preserve">. The Merger Agreement contains certain other covenants and agreements, including covenants described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Lilly and Adverum will obtain the approval of the other party prior to making any public statement relating to the Transactions, subject to certain exceptions.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Between the date of the Merger Agreement and the earlier of the Effective Time or the termination of the Merger Agreement, Adverum and its subsidiaries will make available to Lilly and its Representatives complete and accurate copies of (i) certain clinical and preclinical data set forth in the Disclosure Letter, and (ii) all material written or oral correspondence or other communications between Adverum or its subsidiaries, on the one hand, and the applicable governmental authorities, on the other hand, relating to any of Adverum’s products, in the case of each of clauses (i) and (ii) above, that comes into Adverum’s or any of its subsidiaries’ possession or control during such time period promptly (and in any event no later than three business days) after Adverum obtains such possession or control thereof and subject to the limitations set forth in the access to information section of the Merger Agreement (it being understood that data and correspondence in the possession of a contract research organization or similar third party acting on behalf of Adverum will not be deemed to be in possession of Adverum solely by reason of its being in the possession of such third party). Adverum will, and will cause its subsidiaries to, and will direct its and their Representatives to, reasonably consult and cooperate with Lilly, as and to the extent reasonably requested by Lilly, and consider in good faith the views and comments of Lilly in connection with any material communications (including meetings or teleconferences) with any governmental authority relating to clinical and preclinical trials related to any of Adverum’s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Lilly and Purchaser have no right to control or direct Adverum’s operations prior to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Effective Time, Adverum will convert all investment securities to cash and cash equivalents.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prior to the Effective Time, Adverum will terminate, or cause to be terminated, certain contracts to which it is party, with such terminations becoming effective no later than as of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Within five business days of October 24, 2025, Adverum will cause its existing sales agreement relating to its at the market offering program to be terminated. The sales agreement was terminated on October 29, 2025. </w:t>
            </w:r>
          </w:p>
        </w:tc>
      </w:tr>
    </w:tbl>
    <w:p>
      <w:pPr>
        <w:pStyle w:val="TextBody"/>
        <w:bidi w:val="0"/>
        <w:spacing w:before="240" w:after="0"/>
        <w:jc w:val="left"/>
        <w:rPr>
          <w:rFonts w:ascii="Times New Roman" w:hAnsi="Times New Roman"/>
          <w:sz w:val="20"/>
        </w:rPr>
      </w:pPr>
      <w:r>
        <w:rPr>
          <w:rFonts w:ascii="Times New Roman" w:hAnsi="Times New Roman"/>
          <w:i/>
          <w:sz w:val="20"/>
        </w:rPr>
        <w:t>Conditions of Merger</w:t>
      </w:r>
      <w:r>
        <w:rPr>
          <w:rFonts w:ascii="Times New Roman" w:hAnsi="Times New Roman"/>
          <w:sz w:val="20"/>
        </w:rPr>
        <w:t xml:space="preserve">. The respective obligations of each of Lilly, Purchaser and Adverum to effect the Merger are subject to the satisfaction at or prior to the Effective Time of each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order, injunction, investigation or degree issued by any governmental authority of competent jurisdiction preventing the consummation of the Merger will be in effect. No statute, rule, regulation, order, injunction or decree will have been enacted, entered, promulgated or enforced (and still be in effect) by any governmental authority that prohibits or makes illegal the consummation of the Merger;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Purchaser will have irrevocably accepted for purchase the Shares validly tendered (and not validly withdrawn) pursuant to the Offer. </w:t>
            </w:r>
          </w:p>
        </w:tc>
      </w:tr>
    </w:tbl>
    <w:p>
      <w:pPr>
        <w:pStyle w:val="TextBody"/>
        <w:bidi w:val="0"/>
        <w:spacing w:before="240" w:after="0"/>
        <w:jc w:val="left"/>
        <w:rPr>
          <w:rFonts w:ascii="Times New Roman" w:hAnsi="Times New Roman"/>
          <w:sz w:val="20"/>
        </w:rPr>
      </w:pPr>
      <w:r>
        <w:rPr>
          <w:rFonts w:ascii="Times New Roman" w:hAnsi="Times New Roman"/>
          <w:i/>
          <w:sz w:val="20"/>
        </w:rPr>
        <w:t>Termination</w:t>
      </w:r>
      <w:r>
        <w:rPr>
          <w:rFonts w:ascii="Times New Roman" w:hAnsi="Times New Roman"/>
          <w:sz w:val="20"/>
        </w:rPr>
        <w:t xml:space="preserve">. The Merger Agreement may be terminated and the Offer and the Merger may be abandoned, at any time prior to the Acceptance Time,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mutual written consent of Lilly and Adverum;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either Lilly or Adverum if: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court of competent jurisdiction or other governmental authority has issued an order, decree or ruling, or taken any other action permanently restraining, enjoining, or otherwise prohibiting the Offer or the Merger, and such order, decree, ruling, or other action has become final and non-appealable; however, Lilly, Purchaser or Adverum cannot terminate the Merger Agreement under the circumstances described in this sub-bullet if the issuance of such order, decree, ruling or other action is primarily attributable to the failure on the part of such party to comply with its obligations under the Merger Agreement in any material respect, including the “Further Action; Efforts” section of the Merger Agreement;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Acceptance Time has not occurred on or prior to the Outside Date; provided, however, this termination right is not available to any party if the failure of the Acceptance Time to occur prior to the Outside Date is primarily attributable to the failure on the part of such party to comply in any material respect with its obligations under the Merger Agreement, including the “Further Action; Efforts” section of the Merger Agreement (the condition in the proviso, the “Outside Date Termination Condition”, and any termination under the circumstances described in this sub-bullet, an “Outside Date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Adverum: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2"/>
        <w:gridCol w:w="101"/>
        <w:gridCol w:w="8882"/>
      </w:tblGrid>
      <w:tr>
        <w:trPr/>
        <w:tc>
          <w:tcPr>
            <w:tcW w:w="1020"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(i) Purchaser fails to timely commence the Offer in violation of the Merger Agreement (other than due to the failure by Adverum to perform any covenants or obligations under the Merger Agreement required to be performed by it for the commencement of the Offer); (ii) the Offer has expired or has been terminated, without Purchaser having accepted for purchase the Shares validly tendered (and not validly withdrawn) pursuant to the Offer (subject to the rights and obligations of Lilly or Purchaser to extend the Offer) (the “Failure to Accept Tender Termination”); (iii) Purchaser, in violation of the terms of the Merger Agreement, fails to accept for purchase Shares validly tendered (and not validly withdrawn) pursuant to the Offer; or (iv) there has been a breach of any covenant or agreement made by Lilly or Purchaser in the Merger Agreement, or any representation or warranty of Lilly or Purchaser is inaccurate or becomes inaccurate after the date of the Merger Agreement, and such breach or inaccuracy would give rise to a material adverse effect on the ability of Lilly or Purchaser to timely perform its obligations under the Merger Agreement or timely consummate the Transactions, and such breach or inaccuracy is not capable of being cured within 30 days following receipt by Lilly or Purchaser of written notice of such breach or inaccuracy or, if such breach or inaccuracy is capable of being cured within such period, it has not been cured within such period;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order to enter into an Alternative Acquisition Agreement with respect to a Superior Proposal in accordance with the acquisition proposals section of the Merger Agreement; however, promptly following such termination, Adverum enters into an Alternative Acquisition Agreement in respect of such Superior Proposal and pays or causes to be paid to Lilly the Adverum Termination Fee due pursuant to the Merger Agreement (any termination under the circumstances described in this sub-bullet, a “Superior Proposal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Lilly if: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2"/>
        <w:gridCol w:w="101"/>
        <w:gridCol w:w="8882"/>
      </w:tblGrid>
      <w:tr>
        <w:trPr/>
        <w:tc>
          <w:tcPr>
            <w:tcW w:w="1020"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Purchaser has complied with the terms of the Offer provisions of the Merger Agreement and, due to the failure of an Offer Condition to be satisfied, the Offer has expired or has been terminated without Purchaser having accepted for purchase the Shares validly tendered (and not validly withdrawn) pursuant to the Offer (the “Offer Expiration Termination”) or (ii) there has been a breach of any covenant or agreement made by Adverum in the Merger Agreement or under the Promissory Note, or any representation or warranty of Adverum is inaccurate or becomes inaccurate after the date of the Merger Agreement and such breach or inaccuracy gives rise to the failure of the Representations Condition and the Compliance Condition (as defined below), and such breach or inaccuracy is not capable of being cured within 30 days following receipt by Adverum of written notice in that respect or, if such breach or inaccuracy is capable of being cured within such period, it has not been cured within such period (any termination under the circumstances described in clause (ii) of this sub-bullet, a “Breach of Covenant Termination”);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Adverum Board or any committee thereof effects a Change of Board Recommendation (any termination under the circumstances described in this sub-bullet, a “Change of the Board Recommendation Termination”). </w:t>
            </w:r>
          </w:p>
        </w:tc>
      </w:tr>
    </w:tbl>
    <w:p>
      <w:pPr>
        <w:pStyle w:val="TextBody"/>
        <w:bidi w:val="0"/>
        <w:spacing w:before="240" w:after="0"/>
        <w:jc w:val="left"/>
        <w:rPr>
          <w:rFonts w:ascii="Times New Roman" w:hAnsi="Times New Roman"/>
          <w:sz w:val="20"/>
        </w:rPr>
      </w:pPr>
      <w:r>
        <w:rPr>
          <w:rFonts w:ascii="Times New Roman" w:hAnsi="Times New Roman"/>
          <w:i/>
          <w:sz w:val="20"/>
        </w:rPr>
        <w:t>Effect of Termination</w:t>
      </w:r>
      <w:r>
        <w:rPr>
          <w:rFonts w:ascii="Times New Roman" w:hAnsi="Times New Roman"/>
          <w:sz w:val="20"/>
        </w:rPr>
        <w:t xml:space="preserve">. If the Merger Agreement is terminated pursuant to the termination sections of the Merger Agreement, the Merger Agreement (other than certain specified sections) will become void and of no effect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 liability on the part of Lilly, Purchaser or Adverum (or any of their respective Representatives); however, except in a circumstance where the termination fee is paid by Adverum pursuant to the terms of the termination sections of the Merger Agreement, no such termination will relieve any person of any liability for damages resulting from a material breach of the Merger Agreement that is a consequence of an act or omission intentionally undertaken by the breaching party with the knowledge that such act or omission would result in a material breach of the Merger Agreement, including with respect to the making of a representation in the Merger Agreement (an “Intentional Breach”), or would constitute fraud (as defined in the Merger Agreement). Lilly will cause the Offer to be terminated immediately after any termination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Adverum will pay Lilly a termination fee of $4,000,000 (the “Adverum Termination Fee”) in the event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is terminated by Adverum pursuant to a Superior Proposal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is terminated by Lilly pursuant to a Change of the Board Recommendation Termination;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(iii)</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the Merger Agreement is terminated (x) by either Lilly or Adverum pursuant to the Outside Date Termination (but in the case of a termination by Adverum, only if at such time Lilly would not be prohibited from terminating the Merger Agreement, pursuant to the Outside Date Termination Condition), (y) by Lilly pursuant to (a) the Breach of Covenant Termination or (b) the Offer Expiration Termination or (z) by Adverum pursuant to the Failure to Accept Tender Termination, (B) any person has publicly disclosed an Acquisition Proposal (which has not been irrevocably and publicly withdrawn at least three days (1) prior to the Outside Date in the case of clause (A)(x), (2) prior to the date the Offer expires or is terminated in the case of clause (A)(y)(b) or clause (A)(z) or (3) prior to the date of such material breach in the case of clause (A)(y)(a)) after the date of the Merger Agreement and prior to such termination and (C) within 12 months after such termination, Adverum enters into an Alternative Acquisition Agreement with respect to an Acquisition Proposal (and the transactions contemplated by such Acquisition Proposal are subsequently consummated before or after the expiration of such 12-month period) or the Acquisition Proposal is consummated (however, in the case of clause (C), “Acquisition Proposal” will have the meaning set forth above under “Acquisition Proposals,” except that references to 20% in the definition will be replaced by reference to 50%).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payment of the Adverum Termination Fee required to be made (1) pursuant to clause (i) above will be paid concurrently with such termination, (2) pursuant to clause (ii) above will be paid no later than two business days after that termination and (3) pursuant to clause (iii) above will be payable to Lilly upon entry into an Alternative Acquisition Agreement. Adverum will not be required to pay the Adverum Termination Fee more than once. </w:t>
      </w:r>
    </w:p>
    <w:p>
      <w:pPr>
        <w:pStyle w:val="TextBody"/>
        <w:bidi w:val="0"/>
        <w:spacing w:before="240" w:after="0"/>
        <w:jc w:val="left"/>
        <w:rPr>
          <w:rFonts w:ascii="Times New Roman" w:hAnsi="Times New Roman"/>
          <w:sz w:val="20"/>
        </w:rPr>
      </w:pPr>
      <w:r>
        <w:rPr>
          <w:rFonts w:ascii="Times New Roman" w:hAnsi="Times New Roman"/>
          <w:sz w:val="20"/>
        </w:rPr>
        <w:t xml:space="preserve">The termination of the Merger Agreement also will result in the acceleration of all outstanding principal and interest under the Promissory Note, together with the applicable prepayment premium, as further described under below —“Other Agreements —Secured Promissory Note”.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the Adverum Termination Fee payable pursuant to the above is paid to Lilly, Lilly’s receipt of the Adverum Termination Fee will be the sole and exclusive remedy of Lilly and Purchaser in respect of any breach of, or inaccuracy contained in, Adverum’s covenants, agreements, representations, or warranties in the Merger Agreement, and none of Lilly, Purchaser, any of their respective affiliates or any other person will be entitled to bring or maintain any other claim, action or proceeding against Adverum or its affiliates or any Representatives of Adverum or any of its affiliates arising out of the Merger Agreement, the Transactions or any matters forming the basis for such termination; however, Adverum will not be relieved from liability for damages arising from an Intentional Breach of the covenants in the Merger Agreement described herein under — “Acquisition Proposals” or fraud. </w:t>
      </w:r>
    </w:p>
    <w:p>
      <w:pPr>
        <w:pStyle w:val="TextBody"/>
        <w:bidi w:val="0"/>
        <w:spacing w:before="240" w:after="0"/>
        <w:jc w:val="left"/>
        <w:rPr>
          <w:rFonts w:ascii="Times New Roman" w:hAnsi="Times New Roman"/>
          <w:sz w:val="20"/>
        </w:rPr>
      </w:pPr>
      <w:r>
        <w:rPr>
          <w:rFonts w:ascii="Times New Roman" w:hAnsi="Times New Roman"/>
          <w:sz w:val="20"/>
        </w:rPr>
        <w:t xml:space="preserve">If Adverum fails to promptly pay the Adverum Termination Fee when due and, Lilly or Purchaser commences a suit in order to collect such payment that results in a judgment against Adverum for the amount of the Adverum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Termination Fee, Adverum will pay to Lilly or Purchaser interest on such amount at the prime rate as published in the Wall Street Journal in effect on the date such payment was required to be made through the date of payment. </w:t>
      </w:r>
    </w:p>
    <w:p>
      <w:pPr>
        <w:pStyle w:val="TextBody"/>
        <w:bidi w:val="0"/>
        <w:spacing w:before="240" w:after="0"/>
        <w:jc w:val="left"/>
        <w:rPr>
          <w:rFonts w:ascii="Times New Roman" w:hAnsi="Times New Roman"/>
          <w:sz w:val="20"/>
        </w:rPr>
      </w:pPr>
      <w:r>
        <w:rPr>
          <w:rFonts w:ascii="Times New Roman" w:hAnsi="Times New Roman"/>
          <w:i/>
          <w:sz w:val="20"/>
        </w:rPr>
        <w:t>Specific Performance</w:t>
      </w:r>
      <w:r>
        <w:rPr>
          <w:rFonts w:ascii="Times New Roman" w:hAnsi="Times New Roman"/>
          <w:sz w:val="20"/>
        </w:rPr>
        <w:t xml:space="preserve">. Lilly, Purchaser and Adverum have agreed that, in the event of any breach of the Merger Agreement, irreparable harm would occur that monetary damages could not make whole. Lilly, Purchaser and Adverum further agreed that they will be entitled to specific performance of the Merger Agreement in addition to any other remedy to which they are entitled at law or in equity. </w:t>
      </w:r>
    </w:p>
    <w:p>
      <w:pPr>
        <w:pStyle w:val="TextBody"/>
        <w:bidi w:val="0"/>
        <w:spacing w:before="240" w:after="0"/>
        <w:jc w:val="left"/>
        <w:rPr>
          <w:rFonts w:ascii="Times New Roman" w:hAnsi="Times New Roman"/>
          <w:sz w:val="20"/>
        </w:rPr>
      </w:pPr>
      <w:r>
        <w:rPr>
          <w:rFonts w:ascii="Times New Roman" w:hAnsi="Times New Roman"/>
          <w:i/>
          <w:sz w:val="20"/>
        </w:rPr>
        <w:t>Expenses</w:t>
      </w:r>
      <w:r>
        <w:rPr>
          <w:rFonts w:ascii="Times New Roman" w:hAnsi="Times New Roman"/>
          <w:sz w:val="20"/>
        </w:rPr>
        <w:t xml:space="preserve">. Except as otherwise provided therein, each of Lilly, Purchaser and Adverum will bear its own expenses in connection with the Merger Agreement and the Transactions. </w:t>
      </w:r>
    </w:p>
    <w:p>
      <w:pPr>
        <w:pStyle w:val="TextBody"/>
        <w:bidi w:val="0"/>
        <w:spacing w:before="240" w:after="0"/>
        <w:jc w:val="left"/>
        <w:rPr>
          <w:rFonts w:ascii="Times New Roman" w:hAnsi="Times New Roman"/>
          <w:sz w:val="20"/>
        </w:rPr>
      </w:pPr>
      <w:r>
        <w:rPr>
          <w:rFonts w:ascii="Times New Roman" w:hAnsi="Times New Roman"/>
          <w:i/>
          <w:sz w:val="20"/>
        </w:rPr>
        <w:t>Amendment and Waiver</w:t>
      </w:r>
      <w:r>
        <w:rPr>
          <w:rFonts w:ascii="Times New Roman" w:hAnsi="Times New Roman"/>
          <w:sz w:val="20"/>
        </w:rPr>
        <w:t xml:space="preserve">. The Merger Agreement may not be amended except by an instrument in writing signed by Lilly, Purchaser and Adverum prior to the Acceptance Time, provided, that Purchaser expressly reserves the right at any time or from time to time, in its sole discretion, to waive any Offer Condition or modify or amend the terms of the Offer, subject to certain exceptions. At any time prior to the Acceptance Time, Adverum, on the one hand, and Lilly and Purchaser, on the other hand, may, pursuant to an instrument in writing signed by Lilly, Purchaser and Adverum, (i) extend the time for the performance of any of the obligations or other acts of the other, (ii) waive any inaccuracies in the representations and warranties of the other contained in the Merger Agreement or any documents delivered pursuant thereto and (iii) subject to the requirement of applicable law, waive compliance by the other with any of the agreements or conditions contained in the Merger Agreement, except that the Minimum Tender Condition and Termination Condition may only be waived by Lilly or Purchaser with the prior written consent of Adverum. </w:t>
      </w:r>
    </w:p>
    <w:p>
      <w:pPr>
        <w:pStyle w:val="TextBody"/>
        <w:bidi w:val="0"/>
        <w:spacing w:before="240" w:after="0"/>
        <w:jc w:val="left"/>
        <w:rPr>
          <w:rFonts w:ascii="Times New Roman" w:hAnsi="Times New Roman"/>
          <w:sz w:val="20"/>
        </w:rPr>
      </w:pPr>
      <w:r>
        <w:rPr>
          <w:rFonts w:ascii="Times New Roman" w:hAnsi="Times New Roman"/>
          <w:i/>
          <w:sz w:val="20"/>
        </w:rPr>
        <w:t>Governing Law</w:t>
      </w:r>
      <w:r>
        <w:rPr>
          <w:rFonts w:ascii="Times New Roman" w:hAnsi="Times New Roman"/>
          <w:sz w:val="20"/>
        </w:rPr>
        <w:t xml:space="preserve">. The Merger Agreement will be governed by and construed in accordance with the laws of the State of Delaware, without regard to the laws that might otherwise govern under applicable principles of conflicts of laws thereof. Lilly, Purchaser and Adverum have agreed expressly and irrevocably to submit to the exclusive personal jurisdiction of the Court of Chancery of the State of Delaware (the “Delaware Court”) or if the Delaware Court lacks subject matter jurisdiction, the United States District Court for the District of Delaware, in the event any dispute arises out of the Merger Agreement, the Offer, the Merger or the Transactions. </w:t>
      </w:r>
    </w:p>
    <w:p>
      <w:pPr>
        <w:pStyle w:val="TextBody"/>
        <w:bidi w:val="0"/>
        <w:spacing w:before="240" w:after="0"/>
        <w:jc w:val="left"/>
        <w:rPr>
          <w:rFonts w:ascii="Times New Roman" w:hAnsi="Times New Roman"/>
          <w:sz w:val="20"/>
        </w:rPr>
      </w:pPr>
      <w:r>
        <w:rPr>
          <w:rFonts w:ascii="Times New Roman" w:hAnsi="Times New Roman"/>
          <w:i/>
          <w:sz w:val="20"/>
        </w:rPr>
        <w:t>Offer Conditions</w:t>
      </w:r>
      <w:r>
        <w:rPr>
          <w:rFonts w:ascii="Times New Roman" w:hAnsi="Times New Roman"/>
          <w:sz w:val="20"/>
        </w:rPr>
        <w:t xml:space="preserve">. The Offer Conditions are described in Section 15 — “Conditions of the Offer.” </w:t>
      </w:r>
    </w:p>
    <w:p>
      <w:pPr>
        <w:pStyle w:val="TextBody"/>
        <w:bidi w:val="0"/>
        <w:spacing w:before="360" w:after="0"/>
        <w:jc w:val="left"/>
        <w:rPr>
          <w:rFonts w:ascii="Times New Roman" w:hAnsi="Times New Roman"/>
          <w:b/>
          <w:sz w:val="20"/>
        </w:rPr>
      </w:pPr>
      <w:r>
        <w:rPr>
          <w:rFonts w:ascii="Times New Roman" w:hAnsi="Times New Roman"/>
          <w:b/>
          <w:sz w:val="20"/>
        </w:rPr>
        <w:t xml:space="preserve">Other Agreements </w:t>
      </w:r>
    </w:p>
    <w:p>
      <w:pPr>
        <w:pStyle w:val="TextBody"/>
        <w:bidi w:val="0"/>
        <w:spacing w:before="0" w:after="0"/>
        <w:jc w:val="left"/>
        <w:rPr>
          <w:rFonts w:ascii="Times New Roman" w:hAnsi="Times New Roman"/>
          <w:b/>
          <w:i/>
          <w:sz w:val="20"/>
        </w:rPr>
      </w:pPr>
      <w:r>
        <w:rPr>
          <w:rFonts w:ascii="Times New Roman" w:hAnsi="Times New Roman"/>
          <w:b/>
          <w:i/>
          <w:sz w:val="20"/>
        </w:rPr>
        <w:t xml:space="preserve">CVR Agreement </w:t>
      </w:r>
    </w:p>
    <w:p>
      <w:pPr>
        <w:pStyle w:val="TextBody"/>
        <w:bidi w:val="0"/>
        <w:spacing w:before="120" w:after="0"/>
        <w:jc w:val="left"/>
        <w:rPr>
          <w:rFonts w:ascii="Times New Roman" w:hAnsi="Times New Roman"/>
          <w:sz w:val="20"/>
        </w:rPr>
      </w:pPr>
      <w:r>
        <w:rPr>
          <w:rFonts w:ascii="Times New Roman" w:hAnsi="Times New Roman"/>
          <w:sz w:val="20"/>
        </w:rPr>
        <w:t xml:space="preserve">Each CVR represents a non-tradable contractual right to receive up to two Milestone Payments in an aggregate amount of up to $8.91 per CVR, net to the stockholder in cash, without interest and less any applicable tax withholding, upon the achievement of certain specified milestones related to the development of the Ixo-vec Product. </w:t>
      </w:r>
    </w:p>
    <w:p>
      <w:pPr>
        <w:pStyle w:val="TextBody"/>
        <w:bidi w:val="0"/>
        <w:spacing w:before="240" w:after="0"/>
        <w:jc w:val="left"/>
        <w:rPr>
          <w:rFonts w:ascii="Times New Roman" w:hAnsi="Times New Roman"/>
          <w:sz w:val="20"/>
        </w:rPr>
      </w:pPr>
      <w:r>
        <w:rPr>
          <w:rFonts w:ascii="Times New Roman" w:hAnsi="Times New Roman"/>
          <w:sz w:val="20"/>
        </w:rPr>
        <w:t xml:space="preserve">The Milestone Payments comprise the First Milestone Payment and the Second Milestone Payment, each payable upon the achievement of certain specified regulatory and commercial milestones within specified time periods,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First Milestone Payment is an amount equal to $1.78 per CVR minus any Milestone Offset Amount, if any, in cash, without interest, payable if the First Milestone is achieved prior to the earlier of (i) 12:00 a.m. New York City Time on the date that is the seventh anniversary of the Closing Date, and (ii) the termination of the CVR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Second Milestone Payment is an amount equal to $7.13 per CVR minus any Milestone Offset Amount, if any and to the extent not deducted from the First Milestone Payment, in cash, without interest, payable if the Second Milestone is achieved prior to the tenth anniversary of the Closing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Milestone Offset Amount is an amount equal to (i) 50% of any payments that Lilly or any of its affiliates or their respective successors or permitted assigns makes or is obligated to make in exchange for any license to, or other right to use or practice, any Necessary IP (as defined below) divided by (ii) the total number of CVRs held by all eligible holders of CVRs, as reflected on the CVR Register (as defined below) as of the close of business on the date of the Milestone Notice (as defined in the CVR Agreement). The Milestone Offset Amount will in no event exceed $0.50 per CVR. This means that the aggregate consideration per CVR could be lower than $8.91 (but no lower than $8.41) even if each of the Milestones is met within the applicable specified time frame. </w:t>
      </w:r>
    </w:p>
    <w:p>
      <w:pPr>
        <w:pStyle w:val="TextBody"/>
        <w:bidi w:val="0"/>
        <w:spacing w:before="240" w:after="0"/>
        <w:jc w:val="left"/>
        <w:rPr/>
      </w:pPr>
      <w:r>
        <w:rPr/>
        <w:t>“</w:t>
      </w:r>
      <w:r>
        <w:rPr>
          <w:rFonts w:ascii="Times New Roman" w:hAnsi="Times New Roman"/>
          <w:sz w:val="20"/>
        </w:rPr>
        <w:t xml:space="preserve">Necessary IP” means any Intellectual Property that is licensed to Lilly or its subsidiaries following the Closing Date and that is necessary or reasonably useful to develop, manufacture or commercialize an Ixo-vec Product. </w:t>
      </w:r>
    </w:p>
    <w:p>
      <w:pPr>
        <w:pStyle w:val="TextBody"/>
        <w:bidi w:val="0"/>
        <w:spacing w:before="240" w:after="0"/>
        <w:jc w:val="left"/>
        <w:rPr>
          <w:rFonts w:ascii="Times New Roman" w:hAnsi="Times New Roman"/>
          <w:sz w:val="20"/>
        </w:rPr>
      </w:pPr>
      <w:r>
        <w:rPr>
          <w:rFonts w:ascii="Times New Roman" w:hAnsi="Times New Roman"/>
          <w:sz w:val="20"/>
        </w:rPr>
        <w:t xml:space="preserve">At or prior to such time as Purchaser accepts for purchase the Shares tendered in the Offer after the Expiration Time, Lilly, Purchaser and the Rights Agent will enter into the CVR Agreement governing the terms of the CVRs to be received by Adverum stockholders. Each holder of Shares will be entitled to one CVR for each Share outstanding (a) that Purchaser accepts for payment from such holder pursuant to the Offer or (b) owned by or issued to such holder as of immediately prior to the Effective Time and converted into the right to receive the Merger Consideration pursuant to the Merger Agreement. Each holder of a Company Cash-Out Stock Option that is outstanding immediately prior to the Effective Time, whether or not vested, will be entitled to one CVR for each Share subject to such Company Cash-Out Stock Option. Each holder of a Company RSU that is outstanding and unvested immediately prior to the Effective Time will be entitled to one CVR for each Share subject to such Company RSU. Each holder of a Company PSU that is outstanding and unvested immediately prior to the Effective Time will be entitled to one CVR for each Share subject to such Company PSU. The CVRs are contractual rights only and not transferable except under certain limited circumstances, will not be certificated or evidenced by any instrument and will not be registered with the SEC or listed for trading. The CVRs will not have any voting or dividend rights and will not represent any equity or ownership interest in Lilly, Purchaser or Adverum or any of their affiliates or subsidiaries (including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CVR Agreement, Lilly will, and will cause its subsidiaries, licensees and rights transferees to, use Commercially Reasonable Efforts (as defined below) to achieve the First Milestone as promptly as practicable following the Effective Time. However, use of Commercially Reasonable Efforts does not guarantee that Lilly will achieve the First Milestone by a specific date or at all. Whether the Milestone required for payment of the respective Milestone Payment is achieved will depend on many factors, some within control of Lilly and its subsidiaries and others outside the control of Lilly and its subsidiaries. There can be no assurance that either Milestone will be achieved prior to its expiration or termination of the CVR Agreement, that the payment will be required of Lilly with respect to the Milestone or that the Milestone Payment will not be reduced as described above. If the Milestones are not achieved in the applicable timeframe, the Milestone Payments will not be due or payable to holders of CVRs and any associated covenants and obligations of Lilly and Purchaser will irrevocably terminate in accordance with the terms of the CVR Agreement. No interest will accrue or be payable in respect of any amount that may become payable in respect of the CVRs. </w:t>
      </w:r>
    </w:p>
    <w:p>
      <w:pPr>
        <w:pStyle w:val="TextBody"/>
        <w:bidi w:val="0"/>
        <w:spacing w:before="240" w:after="0"/>
        <w:jc w:val="left"/>
        <w:rPr/>
      </w:pPr>
      <w:r>
        <w:rPr/>
        <w:t>“</w:t>
      </w:r>
      <w:r>
        <w:rPr>
          <w:rFonts w:ascii="Times New Roman" w:hAnsi="Times New Roman"/>
          <w:sz w:val="20"/>
        </w:rPr>
        <w:t xml:space="preserve">Commercially Reasonable Efforts” means that level of efforts, expertise and resources commonly applied by Lilly to carry out a particular task or obligation, consistent with the general practice followed by Lilly relating to other pharmaceutical compounds, products or therapies owned by it, or to which it has exclusive rights, which are of similar market potential at a similar stage in their development or product life, taking into account all relevant factors, including issues of safety and efficacy; product profile; the expected probability of technical success of the applicable compound, product or therapy; the progress and outcome of any development efforts with respect to the applicable compound, product or therapy; the competitiveness of other compounds, products or therapies in development and in the marketplace (including other compounds, products and therapies that are being developed or commercialized by or on behalf of Lilly or its affiliates); supply chain management considerations; the proprietary position of the compound, product or therapy (including with respect to patent or regulatory exclusivity); the regulatory structure involved; the expected cost and profitability of the applicable compound, product or therapy (including pricing and reimbursement status achieved or expected to be achieved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including the obligation to make Milestone Payments under the CVR Agreement); and other relevant commercial, technical, legal, scientific or medical factors. Lilly and Adverum agree that (i) the level of efforts that constitute Commercially Reasonable Efforts may change over time, reflecting changes in the status of a product, compound or therapy, (ii) the use of Commercially Reasonable Efforts may result in Lilly and its affiliates ceasing the research, development, commercialization or other exploitation of a particular compound, product or therapy (in whole or in part), (iii) the use of Commercially Reasonable Efforts does not require that Lilly or its affiliates to act in a manner which would otherwise be contrary to prudent business judgment, including business judgment as exercised in Lilly’s or affiliate’s ordinary course of business, and (iv) once research, development, commercialization or other exploitation for a particular compound, product or therapy has ceased in compliance with the CVR Agreement, the use of Commercially Reasonable Efforts does not require the continued reevaluation of whether development, commercialization or exploitation must be reinitiated for such compound, product or therapy. </w:t>
      </w:r>
    </w:p>
    <w:p>
      <w:pPr>
        <w:pStyle w:val="TextBody"/>
        <w:bidi w:val="0"/>
        <w:spacing w:before="240" w:after="0"/>
        <w:jc w:val="left"/>
        <w:rPr>
          <w:rFonts w:ascii="Times New Roman" w:hAnsi="Times New Roman"/>
          <w:sz w:val="20"/>
        </w:rPr>
      </w:pPr>
      <w:r>
        <w:rPr>
          <w:rFonts w:ascii="Times New Roman" w:hAnsi="Times New Roman"/>
          <w:sz w:val="20"/>
        </w:rPr>
        <w:t xml:space="preserve">The right to payment described above is solely a contractual right governed by the terms and conditions set forth in the CVR Agreement. Holders of CVRs will have no greater rights against Lilly than those accorded to general, unsecured creditors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The CVRs will not be transferable except (a) by will or intestacy upon death of a holder, (b) by instrument to an </w:t>
      </w:r>
      <w:r>
        <w:rPr>
          <w:rFonts w:ascii="Times New Roman" w:hAnsi="Times New Roman"/>
          <w:i/>
          <w:sz w:val="20"/>
        </w:rPr>
        <w:t>inter vivos</w:t>
      </w:r>
      <w:r>
        <w:rPr>
          <w:rFonts w:ascii="Times New Roman" w:hAnsi="Times New Roman"/>
          <w:sz w:val="20"/>
        </w:rPr>
        <w:t xml:space="preserve"> or testamentary trust in which the CVRs are to be passed to beneficiaries upon the death of the settlor, (c) pursuant to a court order, (d) by operation of law (including by consolidation or merger of the holder) or if effectuated without consideration in connection with the dissolution, liquidation or termination of any holder that is a corporation, limited liability company, partnership or other entity, (e) in the case of CVRs held in book-entry or other similar nominee form, from a nominee to a beneficial owner and, if applicable, through an intermediary, (f) if the holder is a partnership or limited liability company, a distribution by the transferring partnership or limited liability company to its partners or members, as applicable (so long as such distribution or transfer does not subject the CVRs to a requirement of registration under the Securities Act or the Exchange Act) or (g) to Lilly or Purchaser in connection with the abandonment of such CVR by the applicable holder. No interest will accrue or be payable in respect of any of the amounts that may become payable in respect of the CVRs. </w:t>
      </w:r>
    </w:p>
    <w:p>
      <w:pPr>
        <w:pStyle w:val="TextBody"/>
        <w:bidi w:val="0"/>
        <w:spacing w:before="240" w:after="0"/>
        <w:jc w:val="left"/>
        <w:rPr>
          <w:rFonts w:ascii="Times New Roman" w:hAnsi="Times New Roman"/>
          <w:sz w:val="20"/>
        </w:rPr>
      </w:pPr>
      <w:r>
        <w:rPr>
          <w:rFonts w:ascii="Times New Roman" w:hAnsi="Times New Roman"/>
          <w:sz w:val="20"/>
        </w:rPr>
        <w:t xml:space="preserve">The Rights Agent will create and maintain a register (the “CVR Register”) for the purpose of (i) identifying holders of CVRs, and (ii) registering CVRs in book-entry position and any transfers of CVRs that are permitted under the CVR Agreement. The CVR Register will set forth (x) with respect to holders of the Shares that hold such Shares in book-entry form through DTC immediately prior to the Effective Time, one position for Cede &amp; Co. (as nominee of DTC) representing all such Shares that were tendered in the Offer or converted into the right to receive the Offer Price as a consequence of the Merger in accordance with the terms of the Merger Agreement and (y) with respect to (A) holders of Shares that hold such Shares in certificated form immediately prior to the Effective Time that were tendered in the Offer or converted into the right to receive the Offer Price as a consequence of the Merger in accordance with the terms of the Merger Agreement, upon delivery to the Depositary by each such holder of the applicable stock certificates, together with a validly executed letter of transmittal and such other customary documents as may be reasonably requested by the Depositary, in accordance with the Merger Agreement, (B) holders of Shares that hold such Shares in book-entry form through Adverum’s transfer agent immediately prior to Effective Time, (C) holders of Company RSUs, (D) holders of Company PSUs, (E) holders of Company Cash-Out Stock Options, and (F) holders of Warrants (other than Warrants that have an exercise price that equals or exceeds the Merger Consideration and accordingly shall be cancelled as of Closing for no consideration in accordance with the terms of the Merger Agreement), in each case of clauses (A) through (F), the applicable number of CVRs to which each such holder is entitled pursuant to the Merger Agreement (other than, in the case of the foregoing clauses (x), (y)(A) and (y)(B), those who have perfected their appraisal rights in accordance with Section 262). The CVR Register will be updated as necessary by the Rights Agent to reflect the addition or removal of holders (pursuant to any permitted transfers), upon the written receipt of such information by the Rights Agent. </w:t>
      </w:r>
    </w:p>
    <w:p>
      <w:pPr>
        <w:pStyle w:val="TextBody"/>
        <w:bidi w:val="0"/>
        <w:spacing w:before="240" w:after="0"/>
        <w:jc w:val="left"/>
        <w:rPr>
          <w:rFonts w:ascii="Times New Roman" w:hAnsi="Times New Roman"/>
          <w:sz w:val="20"/>
        </w:rPr>
      </w:pPr>
      <w:r>
        <w:rPr>
          <w:rFonts w:ascii="Times New Roman" w:hAnsi="Times New Roman"/>
          <w:sz w:val="20"/>
        </w:rPr>
        <w:t xml:space="preserve">The CVR Agreement provides that, other than the rights of the Rights Agent as set forth in the CVR Agreement, holders of at least 20% of outstanding CVRs set forth in the CVR Register (the “Acting Holders”) have the sole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right, on behalf of all holders of CVRs, by virtue of or under any provision of the CVR Agreement, to institute any action or proceeding with respect to the CVR Agreement, and no individual holder or other group of holders of CVRs will be entitled to exercise such rights. However, the foregoing does not limit the ability of an individual holder of CVRs to seek a payment due from the applicable party solely to the extent such payment amount has been finally determined and has not been paid within the period contemplated by the CVR Agreement. The CVR Agreement provides that the Rights Agent will have certain audit rights with respect to the Second Milestone from the date of the first commercial sale of the first Ixo-vec Product until the earlier of the achievement of the Second Milestone and the expiration of the Second Milestone. The Acting Holders will have the right to direct the Rights Agent to exercise such rights. Additionally, the CVR Agreement provides Lilly, Purchaser and the Rights Agent the right to amend, without the consent of holders of CVRs, the CVR Agreement in certain instances, including (i) providing for a successor to Lilly or to Purchaser, (ii) adding to the covenants of Lilly and Purchaser as Lilly, Purchaser and the Rights Agent will consider to be for the protection of holders of CVRs (if such provisions do not adversely affect the interests of holders of CVRs (as a group in their capacity as such)), (iii) curing any ambiguities, correcting or supplementing any provisions of the CVR Agreement that may be defective or inconsistent therein or making any provisions with respect to matters or questions arising under the CVR Agreement (if such provisions do not adversely affect the interests of holders of CVRs (as a group in their capacity as such)), (iv) amendments as may be necessary or appropriate to ensure that the CVRs are not subject to registration under the Securities Act, the Exchange Act, or any similar registration or prospectus requirement under applicable securities laws outside the United States (if such provisions do not change the Milestone, the timeframe for expiration of the Milestone or the Milestone Payment), (v) providing for a successor rights agent, (vi) any other amendments for the purpose of adding, eliminating or changing any provisions of the CVR Agreement, unless such addition, elimination or change is adverse to the interests of holders of CVRs, and (vii) if required, to reduce the number of CVRs in the event any holder of CVRs agrees to abandon or renounce such holder’s rights under the CVR Agreement. Lilly or Purchaser may also amend the CVR Agreement in other circumstances, including in a manner that is materially adverse to the interests of the holders of CVRs if Lilly and Purchaser obtain the consent of the Acting Holders, whether evidenced in writing or taken at a meeting of such holders. The holders of CVRs shall not be entitled to specific enforcement of Lilly’s obligations to use Commercially Reasonable Efforts to achieve the First Milestone.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CVR Agreement does not purport to be complete and is qualified in its entirety by reference to the full text of the form of the CVR Agreement, a form of which is filed as Exhibit (d)(5) to the Schedule TO and is incorporated herein by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Confidentiality Agreement </w:t>
      </w:r>
    </w:p>
    <w:p>
      <w:pPr>
        <w:pStyle w:val="TextBody"/>
        <w:bidi w:val="0"/>
        <w:spacing w:before="120" w:after="0"/>
        <w:jc w:val="left"/>
        <w:rPr>
          <w:rFonts w:ascii="Times New Roman" w:hAnsi="Times New Roman"/>
          <w:sz w:val="20"/>
        </w:rPr>
      </w:pPr>
      <w:r>
        <w:rPr>
          <w:rFonts w:ascii="Times New Roman" w:hAnsi="Times New Roman"/>
          <w:sz w:val="20"/>
        </w:rPr>
        <w:t xml:space="preserve">On November 4, 2024, Lilly and Adverum entered into a confidentiality agreement (the “Confidentiality Agreement”), as amended effective as of November 4, 2025 (the “First Amendment to Confidentiality Agreement”), pursuant to which Lilly and Adverum agreed to, (i) keep confidential and not publish, make available or otherwise disclose any confidential information of the other party to any third party, and (ii) not use any confidential information of the other party for any purpose other than evaluating potential business or scientific transactions with the other party, in each case, for a period of five years and subject to certain exceptions. The terms of such agreement will expire on December 31, 2025 and the obligations of confidentiality and non-use shall apply to confidential information for the earlier of five years after the term expires or when such confidential information no longer qualifies as confidential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summary of the Confidentiality Agreement and the First Amendment to Confidentiality Agreement is only a summary and is qualified in its entirety by reference to the Confidentiality Agreement and the First Amendment to Confidentiality Agreement, copies of which are filed as Exhibits (d)4 and (d)(5) to the Schedule TO and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Secured Promissory Note </w:t>
      </w:r>
    </w:p>
    <w:p>
      <w:pPr>
        <w:pStyle w:val="TextBody"/>
        <w:bidi w:val="0"/>
        <w:spacing w:before="120" w:after="0"/>
        <w:jc w:val="left"/>
        <w:rPr>
          <w:rFonts w:ascii="Times New Roman" w:hAnsi="Times New Roman"/>
          <w:sz w:val="20"/>
        </w:rPr>
      </w:pPr>
      <w:r>
        <w:rPr>
          <w:rFonts w:ascii="Times New Roman" w:hAnsi="Times New Roman"/>
          <w:sz w:val="20"/>
        </w:rPr>
        <w:t xml:space="preserve">On October 24, 2025, in connection with the Merger Agreement, Adverum also entered into a Secured Promissory Note (the “Promissory Note”) with Lilly, pursuant to which Lilly agreed to provide up to $65.0 million in secured debt financing to Adverum, of which $5.0 million was funded on October 28, 2025 and an additional $15.0 million was funded on November 7, 2025. Pursuant to the terms of the Promissory Note, an additional $20.0 million is available at Adverum’s election on November 21, 2025 and an additional $25.0 million is available at Adverum’s election on December 5, 2025, in each case subject to the prior satisfaction of certain funding conditions specified therein, including conditions relating to Adverum’s adherence to an agreed funding plan and the absence of a Change of Board Recommendation. Advances will not be available following any termination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Advances under the Promissory Note bear interest at a rate equal to SOFR plus 10.0% per annum, compounded bi-weekly. The maturity date of the Promissory Note is January 22, 2026. The Promissory Note includes a 5.0% prepayment premium applicable to any prepayment or acceleration of the obligations under the Promissory Note, including in connection with a Superior Proposal Termination or Change of the Board Recommendation Termination. </w:t>
      </w:r>
    </w:p>
    <w:p>
      <w:pPr>
        <w:pStyle w:val="TextBody"/>
        <w:bidi w:val="0"/>
        <w:spacing w:before="240" w:after="0"/>
        <w:jc w:val="left"/>
        <w:rPr>
          <w:rFonts w:ascii="Times New Roman" w:hAnsi="Times New Roman"/>
          <w:sz w:val="20"/>
        </w:rPr>
      </w:pPr>
      <w:r>
        <w:rPr>
          <w:rFonts w:ascii="Times New Roman" w:hAnsi="Times New Roman"/>
          <w:sz w:val="20"/>
        </w:rPr>
        <w:t xml:space="preserve">The Promissory Note contains representations, warranties, covenants, and events of default (referred to in the Promissory Note as “Triggering Events”), including restrictions on incurring additional indebtedness, granting liens, making investments, and transferring assets. Upon the occurrence of certain Triggering Events, including payment defaults, breaches of covenants, insolvency proceedings, inaccuracy of representations and warranties of Adverum in the Promissory Note or related agreements, ineffectiveness of the collateral documents, entry of judgments, cross-defaults, or any termination of the Merger Agreement, Lilly may accelerate the obligations under the Promissory Note. </w:t>
      </w:r>
    </w:p>
    <w:p>
      <w:pPr>
        <w:pStyle w:val="TextBody"/>
        <w:bidi w:val="0"/>
        <w:spacing w:before="240" w:after="0"/>
        <w:jc w:val="left"/>
        <w:rPr>
          <w:rFonts w:ascii="Times New Roman" w:hAnsi="Times New Roman"/>
          <w:sz w:val="20"/>
        </w:rPr>
      </w:pPr>
      <w:r>
        <w:rPr>
          <w:rFonts w:ascii="Times New Roman" w:hAnsi="Times New Roman"/>
          <w:sz w:val="20"/>
        </w:rPr>
        <w:t xml:space="preserve">Adverum’s obligations under the Promissory Note are guaranteed by each of its subsidiaries and are secured by a first-priority lien on substantially all of Adverum’s and such guarantors’ assets, including intellectual property, accounts, inventory, equipment, and other collateral as defined in the Promissory Note. </w:t>
      </w:r>
    </w:p>
    <w:p>
      <w:pPr>
        <w:pStyle w:val="TextBody"/>
        <w:bidi w:val="0"/>
        <w:spacing w:before="240" w:after="0"/>
        <w:jc w:val="left"/>
        <w:rPr>
          <w:rFonts w:ascii="Times New Roman" w:hAnsi="Times New Roman"/>
          <w:sz w:val="20"/>
        </w:rPr>
      </w:pPr>
      <w:r>
        <w:rPr>
          <w:rFonts w:ascii="Times New Roman" w:hAnsi="Times New Roman"/>
          <w:sz w:val="20"/>
        </w:rPr>
        <w:t xml:space="preserve">The proceeds of the Promissory Note are to be used solely to support ongoing Ixo-vec clinical trials and registrational development activities prior to the anticipated closing of the transaction and to fund Adverum’s working capital needs in accordance with an agreed-upon itemized funding plan attached to the Promissory Note.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bookmarkStart w:id="18" w:name="toc67752_15"/>
            <w:bookmarkEnd w:id="18"/>
            <w:r>
              <w:rPr>
                <w:b/>
              </w:rPr>
              <w:t>12.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Purpose of the Offer; Plans for Adverum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Purpose of the Offer </w:t>
      </w:r>
    </w:p>
    <w:p>
      <w:pPr>
        <w:pStyle w:val="TextBody"/>
        <w:bidi w:val="0"/>
        <w:spacing w:before="120" w:after="0"/>
        <w:jc w:val="left"/>
        <w:rPr>
          <w:rFonts w:ascii="Times New Roman" w:hAnsi="Times New Roman"/>
          <w:sz w:val="20"/>
        </w:rPr>
      </w:pPr>
      <w:r>
        <w:rPr>
          <w:rFonts w:ascii="Times New Roman" w:hAnsi="Times New Roman"/>
          <w:sz w:val="20"/>
        </w:rPr>
        <w:t xml:space="preserve">The purpose of the Offer is for Lilly, through Purchaser, to acquire control of, and would be the first step in Lilly’s acquisition of the entire equity interest in, Adverum. The Offer is intended to facilitate the acquisition of all issued and outstanding Shares. The purpose of the Merger is to acquire all issued and outstanding Shares not tendered and purchased pursuant to the Offer. If the Offer is consummated, Purchaser intends to complete the Merger as soon as practicable thereafter. </w:t>
      </w:r>
    </w:p>
    <w:p>
      <w:pPr>
        <w:pStyle w:val="TextBody"/>
        <w:bidi w:val="0"/>
        <w:spacing w:before="240" w:after="0"/>
        <w:jc w:val="left"/>
        <w:rPr>
          <w:rFonts w:ascii="Times New Roman" w:hAnsi="Times New Roman"/>
          <w:sz w:val="20"/>
        </w:rPr>
      </w:pPr>
      <w:r>
        <w:rPr>
          <w:rFonts w:ascii="Times New Roman" w:hAnsi="Times New Roman"/>
          <w:sz w:val="20"/>
        </w:rPr>
        <w:t xml:space="preserve">The Adverum Board unanimously (i) determined that the Merger Agreement and the Transactions are advisable, fair to, and in the best interests of, Adverum and its stockholders, (ii) duly authorized and approved the execution and delivery of the Merger Agreement, the performance by Adverum of its covenants and other obligations thereunder, and the consummation of the Transactions upon the terms and subject to the conditions set forth therein, (iii) resolved that the Merger Agreement and the Transactions will be governed by and effected under Section 251(h) and other relevant provisions of the DGCL and (iv) resolved to recommend that Adverum stockholders accept the Offer and tender their Shares pursuant to the Offer. </w:t>
      </w:r>
    </w:p>
    <w:p>
      <w:pPr>
        <w:pStyle w:val="TextBody"/>
        <w:bidi w:val="0"/>
        <w:spacing w:before="240" w:after="0"/>
        <w:jc w:val="left"/>
        <w:rPr>
          <w:rFonts w:ascii="Times New Roman" w:hAnsi="Times New Roman"/>
          <w:sz w:val="20"/>
        </w:rPr>
      </w:pPr>
      <w:r>
        <w:rPr>
          <w:rFonts w:ascii="Times New Roman" w:hAnsi="Times New Roman"/>
          <w:sz w:val="20"/>
        </w:rPr>
        <w:t xml:space="preserve">If the Offer is consummated, we will not seek the approval of Adverum’s remaining stockholders before effecting the Merger. Section 251(h) provides that following consummation of a successful tender offer for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public corporation, and subject to certain statutory provisions, if the acquirer holds at least the amount of shares of each class of stock of the constituent corporation that would otherwise be required to approve a merger for the constituent corporation, and the other stockholders receive the same consideration for their stock in the merger as was payable in the tender offer, the acquirer can effect a merger without the action of the other stockholders of the constituent corporation. Accordingly, if we consummate the Offer, we are required pursuant to the Merger Agreement to complete the Merger without a vote of Adverum stockholders in accordance with Section 251(h). </w:t>
      </w:r>
    </w:p>
    <w:p>
      <w:pPr>
        <w:pStyle w:val="TextBody"/>
        <w:bidi w:val="0"/>
        <w:spacing w:before="360" w:after="0"/>
        <w:jc w:val="left"/>
        <w:rPr>
          <w:rFonts w:ascii="Times New Roman" w:hAnsi="Times New Roman"/>
          <w:b/>
          <w:i/>
          <w:sz w:val="20"/>
        </w:rPr>
      </w:pPr>
      <w:r>
        <w:rPr>
          <w:rFonts w:ascii="Times New Roman" w:hAnsi="Times New Roman"/>
          <w:b/>
          <w:i/>
          <w:sz w:val="20"/>
        </w:rPr>
        <w:t xml:space="preserve">Plans for Adverum </w:t>
      </w:r>
    </w:p>
    <w:p>
      <w:pPr>
        <w:pStyle w:val="TextBody"/>
        <w:bidi w:val="0"/>
        <w:spacing w:before="120" w:after="0"/>
        <w:jc w:val="left"/>
        <w:rPr>
          <w:rFonts w:ascii="Times New Roman" w:hAnsi="Times New Roman"/>
          <w:sz w:val="20"/>
        </w:rPr>
      </w:pPr>
      <w:r>
        <w:rPr>
          <w:rFonts w:ascii="Times New Roman" w:hAnsi="Times New Roman"/>
          <w:sz w:val="20"/>
        </w:rPr>
        <w:t xml:space="preserve">After completion of the Offer and the Merger, Adverum will become a direct wholly-owned subsidiary of Lilly. In connection with Lilly’s consideration of the Offer, Lilly has developed a plan, on the basis of available information, for the combination of the business of Adverum with that of Lilly. Lilly plans to integrate Adverum’s business into Lilly. Lilly will continue to evaluate and refine the plan and may make changes to it as additional information is obtained. </w:t>
      </w:r>
    </w:p>
    <w:p>
      <w:pPr>
        <w:pStyle w:val="TextBody"/>
        <w:bidi w:val="0"/>
        <w:spacing w:before="240" w:after="0"/>
        <w:jc w:val="left"/>
        <w:rPr>
          <w:rFonts w:ascii="Times New Roman" w:hAnsi="Times New Roman"/>
          <w:sz w:val="20"/>
        </w:rPr>
      </w:pPr>
      <w:r>
        <w:rPr>
          <w:rFonts w:ascii="Times New Roman" w:hAnsi="Times New Roman"/>
          <w:sz w:val="20"/>
        </w:rPr>
        <w:t xml:space="preserve">Except as set forth in this Offer to Purchase and the Merger Agreement, and as contemplated by the Transactions, Lilly and Purchaser have no present plans or proposals that would relate to or result in (i) any extraordinary corporate transaction involving Adverum (such as a merger, reorganization, liquidation, relocation of any operations or sale or other transfer of a material amount of assets); (ii) any purchase, sale or transfer of a material amount of assets of Adverum; (iii) any material change in Adverum’s dividend policy, or indebtedness (if any) or capitalization; (iv) a class of securities of Adverum being delisted from a national securities exchange or ceasing to be authorized to be quoted in an inter-dealer quotation system of a registered national securities association; (v) any change to board of directors or the management of Adverum; (vi) any other material change in Adverum’s corporate structure or business; or (vii) a class of equity securities of Adverum being eligible for termination of registration pursuant to Section 12(g)(4) of the Exchange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bookmarkStart w:id="19" w:name="toc67752_16"/>
            <w:bookmarkEnd w:id="19"/>
            <w:r>
              <w:rPr>
                <w:b/>
              </w:rPr>
              <w:t>13.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Certain Effects of the Offer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Offer is consummated, subject to the satisfaction or waiver of certain conditions set forth in the Merger Agreement (See Section 11 — “The Merger Agreement; Other Agreements”), Purchaser will merge with and into Adverum pursuant to Section 251(h). Since the Merger will be governed by Section 251(h), no stockholder vote will be required to consummate the Merger. Promptly after the consummation of the Offer, and subject to the satisfaction of the remaining conditions set forth in the Merger Agreement, Lilly and Adverum will consummate the Merger as soon as practicable pursuant to Section 251(h). Immediately following the Merger, all of the issued and outstanding Shares will be held by Lilly. </w:t>
      </w:r>
    </w:p>
    <w:p>
      <w:pPr>
        <w:pStyle w:val="TextBody"/>
        <w:bidi w:val="0"/>
        <w:spacing w:before="240" w:after="0"/>
        <w:jc w:val="left"/>
        <w:rPr>
          <w:rFonts w:ascii="Times New Roman" w:hAnsi="Times New Roman"/>
          <w:sz w:val="20"/>
        </w:rPr>
      </w:pPr>
      <w:r>
        <w:rPr>
          <w:rFonts w:ascii="Times New Roman" w:hAnsi="Times New Roman"/>
          <w:i/>
          <w:sz w:val="20"/>
        </w:rPr>
        <w:t>Market for the Shares</w:t>
      </w:r>
      <w:r>
        <w:rPr>
          <w:rFonts w:ascii="Times New Roman" w:hAnsi="Times New Roman"/>
          <w:sz w:val="20"/>
        </w:rPr>
        <w:t xml:space="preserve">. If the Offer is successful, there will be no market for the Shares because Purchaser intends to consummate the Merger as soon as practicable, thereafter subject to the satisfaction or waiver of certain conditions set forth in the Merger Agreement. </w:t>
      </w:r>
    </w:p>
    <w:p>
      <w:pPr>
        <w:pStyle w:val="TextBody"/>
        <w:bidi w:val="0"/>
        <w:spacing w:before="240" w:after="0"/>
        <w:jc w:val="left"/>
        <w:rPr>
          <w:rFonts w:ascii="Times New Roman" w:hAnsi="Times New Roman"/>
          <w:sz w:val="20"/>
        </w:rPr>
      </w:pPr>
      <w:r>
        <w:rPr>
          <w:rFonts w:ascii="Times New Roman" w:hAnsi="Times New Roman"/>
          <w:i/>
          <w:sz w:val="20"/>
        </w:rPr>
        <w:t>Stock Quotation</w:t>
      </w:r>
      <w:r>
        <w:rPr>
          <w:rFonts w:ascii="Times New Roman" w:hAnsi="Times New Roman"/>
          <w:sz w:val="20"/>
        </w:rPr>
        <w:t xml:space="preserve">. Depending upon the number of Shares purchased pursuant to the Offer, the Shares may no longer meet the requirements for continued listing on Nasdaq if, among other things, Adverum does not meet the requirements for the number of publicly held Shares, the aggregate market value of the publicly held Shares or the number of market makers for the Shares. Lilly will seek to cause the delisting of the Shares on Nasdaq as promptly as practicable after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If Nasdaq were to delist the Shares prior to the consummation of the Merger, it is possible that the Shares would continue to trade on other securities exchanges or in the over-the-counter market and that price or other quotations of the Shares would be reported by other sources. The extent, if any, of a public market for such Shares and the availability of such quotations would depend, however, upon such factors as the number of stockholders and the aggregate market value of such securities remaining at such time, the interest in maintaining a market in the Shares on the part of securities firms, the possible termination of registration under the Exchange Act, and other factors.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Margin Regulations</w:t>
      </w:r>
      <w:r>
        <w:rPr>
          <w:rFonts w:ascii="Times New Roman" w:hAnsi="Times New Roman"/>
          <w:sz w:val="20"/>
        </w:rPr>
        <w:t xml:space="preserve">. The Shares are currently “margin stock” under the Regulations of the Board of Governors of the Federal Reserve System (the “Federal Reserve Board”), which has the effect, among other things, of allowing brokers to extend credit based on the use of Shares as collateral. Depending upon factors similar to those described above regarding the market for the Shares and stock quotations, it is possible that, following the Offer, the Shares would no longer constitute “margin stock” for the purposes of the margin regulations of the Federal Reserve Board and, therefore, could no longer be used as collateral for loans made by brokers. </w:t>
      </w:r>
    </w:p>
    <w:p>
      <w:pPr>
        <w:pStyle w:val="TextBody"/>
        <w:bidi w:val="0"/>
        <w:spacing w:before="240" w:after="0"/>
        <w:jc w:val="left"/>
        <w:rPr>
          <w:rFonts w:ascii="Times New Roman" w:hAnsi="Times New Roman"/>
          <w:sz w:val="20"/>
        </w:rPr>
      </w:pPr>
      <w:r>
        <w:rPr>
          <w:rFonts w:ascii="Times New Roman" w:hAnsi="Times New Roman"/>
          <w:i/>
          <w:sz w:val="20"/>
        </w:rPr>
        <w:t>Exchange Act Registration</w:t>
      </w:r>
      <w:r>
        <w:rPr>
          <w:rFonts w:ascii="Times New Roman" w:hAnsi="Times New Roman"/>
          <w:sz w:val="20"/>
        </w:rPr>
        <w:t xml:space="preserve">. The Shares are currently registered under the Exchange Act. Such registration may be terminated upon notice to the SEC if the Shares are neither listed on a national securities exchange nor held by 300 or more holders of record. Termination of registration of the Shares under the Exchange Act would substantially reduce the information required to be furnished by Adverum to its stockholders and to the SEC and would make certain provisions of the Exchange Act no longer applicable to Adverum, such as the short-swing profit recovery provisions of Section 16(b) of the Exchange Act, the requirement of furnishing a proxy statement pursuant to Section 14(a) of the Exchange Act in connection with stockholders’ meetings and the related requirement of furnishing an annual report to stockholders and the requirements of Rule 13e-3 under the Exchange Act with respect to “going private” transactions. Furthermore, the ability of “affiliates” of Adverum and persons holding “restricted securities” of Adverum to dispose of such securities pursuant to Rule 144 under the Securities Act may be impaired or eliminated. If registration of the Shares under the Exchange Act were terminated, the Shares would no longer be “margin stock” or be eligible for listing on Nasdaq. We will cause the delisting of the Shares from Nasdaq and the termination of the registration of the Shares under the Exchange Act as soon after completion of the Merger as the requirements for such delisting and termination of registration are satisfied.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bookmarkStart w:id="20" w:name="toc67752_17"/>
            <w:bookmarkEnd w:id="20"/>
            <w:r>
              <w:rPr>
                <w:b/>
              </w:rPr>
              <w:t>14.</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Dividends and Distributions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from the date of the Merger Agreement to the Effective Time, without the prior written consent of Lilly, Adverum will not authorize, declare, set aside or pay any dividends on, or make any other distributions (whether in cash, stock or property) in respect of any capital stock of Adverum or any other securities of Adverum as specified in the Merger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bookmarkStart w:id="21" w:name="toc67752_18"/>
            <w:bookmarkEnd w:id="21"/>
            <w:r>
              <w:rPr>
                <w:b/>
              </w:rPr>
              <w:t>15.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Conditions of the Offer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obligation of Purchaser to accept for payment and pay for Shares validly tendered (and not validly withdrawn) pursuant to the Offer is subject to the satisfaction of the conditions below. Purchaser will not be required to, and Lilly will not be required to cause Purchaser to, accept for payment or, subject to any applicable rules and regulations of the SEC, including Rule 14e-l(c) under the Exchange Act (relating to Purchaser’s obligation to pay for or return tendered Shares promptly after the termination or withdrawal of the Offer), to pay for any Shares validly tendered (and not validly withdrawn) pursuant to the Offer and may delay the acceptance for payment of or, subject to any applicable rules and regulations of the SEC, the payment for, any tendered Shares, and (subject to the provisions of the Merger Agreement) may not accept for payment any tendered Shares if, at the then-scheduled Expiration Time, any of the following conditions (collectively, the “Offer Conditions”) exist: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(i)</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Minimum Tender Condition has not been satisfied. The “Minimum Tender Condition” means that there will have been validly tendered in the Offer and not validly withdrawn prior to the Expiration Time that number of Shares that, together with the number of Shares, if any, then beneficially owned by Lilly and Purchaser (together with their wholly-owned subsidiaries), would represent a majority of the Shares outstanding as of the consummation of the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(ii)</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Antitrust Condition has not been satisfied. The “Antitrust Condition” means that any notices, approvals or clearances applicable to or advisable for the consummation of the Transactions in accordance with Antitrust and FDI Laws shall have been given and obtained, and any agreement with a governmental authority not to consummate or to delay consummation of the Transactions, has expired or been terminated;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(iii)</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Promissory Note Condition has not been satisfied. The “Promissory Note Condition” means that there is not, and has been no, Triggering Event (as defined in the Promissory Note) under the Promissory Note.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(iv)</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Legal Restraint Condition has not been satisfied. The “Legal Restraint Condition” means that (i) no court of competent jurisdiction or other governmental body has issued an order, decree, or ruling, enacted any law or taken any other action restraining, enjoining, or otherwise prohibiting the Offer or the Merger or (ii) any law applicable to the Offer or the Merger restraining, enjoining or otherwise prohibiting the Offer or the Merger shall be in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(v)</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Representations Condition has not been satisfied. The “Representations Condition” means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representations and warranties of Adverum set forth in the Merger Agreement (other than the representations and warranties set forth in Section 4.1 (Organization and Corporate Power), Section 4.2 (Authorization; Valid and Binding Agreement), Section 4.3 (Capital Stock), Section 4.4(a) (No Breach), Section 4.8(a) (Absence of Company Material Adverse Effect), Section 4.21 (Brokerage), Section 4.23 (Opinion), and Section 4.24 (No Vote Required) of the Merger Agreement) and that (x) are not made as of a specific date are true and correct as of the Expiration Time, as though made on and as of the Expiration Time and (y) are made as of a specific date are true as of such date, except, in the case of (x) or (y), where the failure of such representations and warranties to be true and correct (without giving effect to any limitation as to “materiality” or “Company Material Adverse Effect” (as defined in Section 11 — “The Merger Agreement; Other Agreements — Merger Agreement”)) has not had a Company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representations and warranties set forth in Section 4.8(a) (Absence of Company Material Adverse Effect) is true in all respects, as of the date of the Merger Agreement and the Expiration Time as though made on and as of such date and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representations and warranties set forth in Section 4.1 (Organization and Corporate Power;), Section 4.2 (Authorization; Valid and Binding Agreement), Section 4.3 (other than Section 4.3(a), (b) or (f) (Capital Stock), Section 4.4(a) (No Breach), Section 4.21 (Brokerage), Section 4.23 (Opinion) and Section 4.24 (No Vote Required)) are true and correct in all respects, except for immaterial inaccuracies, as of the Expiration Time as though made on and as of such date and time (except to the extent that any such representation and warranty expressly speaks as of an earlier date, in which case such representation and warranty is true and correct, except for immaterial inaccuracies, as of such earlier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(D)</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representations set forth in Section 4.3(a), (b) and (f) (Capital Stock) are true and correct in all respects, except for any de minimis inaccuracies, as of the Expiration Time as though made on and as of such date and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(vi)</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Adverum has breached or failed to comply in any material respect with any of its agreements or covenants to be performed or complied with by it under the Merger Agreement on or before such time as Purchaser accepts for purchase and pays for the Shares tendered in the Offer after the Expiration Time (the “Compliance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(vii)</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the date of the Merger Agreement, there has occurred any change, event, occurrence or effect that has had a Company Material Adverse Effect (as defined in Section 11 — “The Merger Agreement; Other Agreements —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(viii)</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Lilly has failed to receive from Adverum a certificate, dated as of the date on which the Offer expires and signed by a senior executive officer of Adverum in his or her capacity as such an officer, certifying to the effect that the conditions set forth in paragraphs (iv), (v) and (vi) immediately above have been satisfied as of immediately prior to the expiration of the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(ix)</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has been terminated pursuant to its terms (the “Termination Condition”).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conditions are for the benefit of Lilly and Purchaser and, subject to the terms and conditions of the Merger Agreement and the applicable rules and regulations of the SEC, may be waived by Lilly and Purchaser,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whole or in part at any time and from time to time prior to the Expiration Time (except for the Minimum Tender Condition and the Termination Condition, which may only be waived by Lilly or Purchaser with the prior written consent of Adverum, not to be unreasonably withheld, conditioned or delayed). The failure by Lilly, Purchaser or any other affiliate of Lilly at any time to exercise any of the foregoing rights will not be deemed a waiver of any such right, the waiver of any such right with respect to particular facts and circumstances will not be deemed a waiver with respect to any other facts and circumstances and each such right will be deemed an ongoing right that may be asserted at any time and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any extension, delay, termination or amendment of the Offer will be followed as promptly as practicable by a public announcement thereof, and such announcement in the case of an extension will be made no later than 9:00 a.m., Eastern Time, on the business day after the previously scheduled Expiration Time. In addition, if we make a material change in the terms of the Offer or the information concerning the Offer or if we waive a material condition of the Offer, we will disseminate additional tender offer materials and extend the Offer, in each case, if and to the extent required by Rules 14d-4(d)(1), 14d-6(c) and 14e-1 under the Exchange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bookmarkStart w:id="22" w:name="toc67752_19"/>
            <w:bookmarkEnd w:id="22"/>
            <w:r>
              <w:rPr>
                <w:b/>
              </w:rPr>
              <w:t>16.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Certain Legal Matters; Regulatory Approvals </w:t>
            </w:r>
          </w:p>
        </w:tc>
      </w:tr>
    </w:tbl>
    <w:p>
      <w:pPr>
        <w:pStyle w:val="TextBody"/>
        <w:bidi w:val="0"/>
        <w:spacing w:before="120" w:after="0"/>
        <w:jc w:val="left"/>
        <w:rPr>
          <w:rFonts w:ascii="Times New Roman" w:hAnsi="Times New Roman"/>
          <w:sz w:val="20"/>
        </w:rPr>
      </w:pPr>
      <w:r>
        <w:rPr>
          <w:rFonts w:ascii="Times New Roman" w:hAnsi="Times New Roman"/>
          <w:i/>
          <w:sz w:val="20"/>
        </w:rPr>
        <w:t>General</w:t>
      </w:r>
      <w:r>
        <w:rPr>
          <w:rFonts w:ascii="Times New Roman" w:hAnsi="Times New Roman"/>
          <w:sz w:val="20"/>
        </w:rPr>
        <w:t xml:space="preserve">. Based on our examination of publicly available information filed by Adverum with the SEC and other publicly available information concerning Adverum, we are not aware of any governmental license or regulatory permit that appears to be material to Adverum’s business that would be adversely affected by our acquisition of Shares pursuant to the Offer or, except as set forth below in this Section 16, of any approval or other action by any government or governmental administrative or regulatory authority or agency, domestic or foreign, that would be required for our purchase of Shares pursuant to the Offer. Should any such approval or other action be required or desirable, we currently contemplate that, except for takeover laws in jurisdictions other than Delaware as described below under “State Takeover Laws,” such approval or other action will be sought. However, except for observance of the waiting periods and the obtaining of the required approvals summarized under “Antitrust Compliance” below in this Section 16, we do not anticipate delaying the purchase of Shares tendered pursuant to the Offer pending the outcome of any such matter. There can be no assurance that any such approval or action, if needed, will be obtained or, if obtained, that it will be obtained without substantial conditions; and there can be no assurance that, in the event that such approvals were not obtained or such other actions were not taken, adverse consequences might not result to Adverum’s business or that certain parts of Adverum’s business might not have to be disposed of or held separate, any of which may give us the right to terminate the Offer at the Expiration Time without accepting for payment any Shares validly tendered (and not validly withdrawn) pursuant to the Offer. Our obligation under the Offer to accept for payment and pay for Shares is subject to the Offer Conditions. See Section 15 — “Conditions of the Offer.”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Regulatory Approvals </w:t>
      </w:r>
    </w:p>
    <w:p>
      <w:pPr>
        <w:pStyle w:val="TextBody"/>
        <w:bidi w:val="0"/>
        <w:spacing w:before="120" w:after="0"/>
        <w:jc w:val="left"/>
        <w:rPr>
          <w:rFonts w:ascii="Times New Roman" w:hAnsi="Times New Roman"/>
          <w:sz w:val="20"/>
        </w:rPr>
      </w:pPr>
      <w:r>
        <w:rPr>
          <w:rFonts w:ascii="Times New Roman" w:hAnsi="Times New Roman"/>
          <w:sz w:val="20"/>
        </w:rPr>
        <w:t xml:space="preserve">Based on a review of the information currently available relating to the businesses in which Parent and Adverum are engaged and the consideration to be paid for the Shares, we have determined that no mandatory antitrust or foreign investment premerger notification filing or waiting period under Hart-Scott Rodino Antitrust Improvements Act of 1976, as amended (the “HSR”), or other applicable antitrust and foreign direct investment laws outside of the United States (“Ex-US Antitrust and FDI Laws”), and the rules and regulations promulgated thereunder, is required. Nevertheless, we cannot be certain that a challenge to the Offer (and the Merger) on antitrust grounds will not be made, or, if such challenge is made, what the result will be. The consummation of the Offer and the Merger is subject to the Antitrust Condition, which means that if any challenge to the Offer (and the Merger) were to be made, the Antitrust Condition may not be satisfied. See Section 15 — “Conditions of the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State Takeover Laws </w:t>
      </w:r>
    </w:p>
    <w:p>
      <w:pPr>
        <w:pStyle w:val="TextBody"/>
        <w:bidi w:val="0"/>
        <w:spacing w:before="120" w:after="0"/>
        <w:jc w:val="left"/>
        <w:rPr>
          <w:rFonts w:ascii="Times New Roman" w:hAnsi="Times New Roman"/>
          <w:sz w:val="20"/>
        </w:rPr>
      </w:pPr>
      <w:r>
        <w:rPr>
          <w:rFonts w:ascii="Times New Roman" w:hAnsi="Times New Roman"/>
          <w:sz w:val="20"/>
        </w:rPr>
        <w:t xml:space="preserve">Adverum is incorporated under the laws of the State of Delaware and is subject to the provisions of Section 203 of the DGCL (“Section 203”). In general, Section 203 prevents a Delaware corporation from engaging in a “business combination” (defined to include mergers and certain other actions) with an “interested stockholder” (including a person who owns or has the right to acquire 15% or more of a corporation’s outstanding voting stock) for a period of three years following the time such person became an “interested stockholder” unless, among other things, the “business combination” is approved by the board of directors of such corporation before such person became an “interested stockholder.” The Adverum Board has approved the Merger Agreement, the Offer, the Merger and the other Transactions, and the restrictions on “business combinations” described in Section 203 are inapplicable to the Merger Agreement, the Offer, the Merger and the other Transactions. </w:t>
      </w:r>
    </w:p>
    <w:p>
      <w:pPr>
        <w:pStyle w:val="TextBody"/>
        <w:bidi w:val="0"/>
        <w:spacing w:before="240" w:after="0"/>
        <w:jc w:val="left"/>
        <w:rPr>
          <w:rFonts w:ascii="Times New Roman" w:hAnsi="Times New Roman"/>
          <w:sz w:val="20"/>
        </w:rPr>
      </w:pPr>
      <w:r>
        <w:rPr>
          <w:rFonts w:ascii="Times New Roman" w:hAnsi="Times New Roman"/>
          <w:sz w:val="20"/>
        </w:rPr>
        <w:t xml:space="preserve">Adverum conducts business in a number of states throughout the United States, some of which have enacted takeover laws. We do not know whether any of these laws will, by their terms, apply to the Merger Agreement, the Offer, the Merger or the other Transactions and have not attempted to comply with any such laws. Should any person seek to apply any state takeover law, we will take such action as then appears desirable, which may include challenging the validity or applicability of any such statute in appropriate court proceedings. In the event any person asserts that the takeover laws of any state are applicable to the Offer or the Merger, and an appropriate court does not determine that it is inapplicable or invalid as applied to the Offer or the Merger, we may be required to file certain information with, or receive approvals from, the relevant state authorities. In addition, if enjoined, we may be unable to accept for payment any Shares tendered pursuant to the Offer, or be delayed in continuing or consummating the Offer and the Merger. In such case, we may not be obligated to accept for payment any Shares tendered in the Offer. See Section 15 — “Conditions of the Offer.” </w:t>
      </w:r>
    </w:p>
    <w:p>
      <w:pPr>
        <w:pStyle w:val="TextBody"/>
        <w:bidi w:val="0"/>
        <w:spacing w:before="360" w:after="0"/>
        <w:jc w:val="left"/>
        <w:rPr>
          <w:rFonts w:ascii="Times New Roman" w:hAnsi="Times New Roman"/>
          <w:b/>
          <w:i/>
          <w:sz w:val="20"/>
        </w:rPr>
      </w:pPr>
      <w:r>
        <w:rPr>
          <w:rFonts w:ascii="Times New Roman" w:hAnsi="Times New Roman"/>
          <w:b/>
          <w:i/>
          <w:sz w:val="20"/>
        </w:rPr>
        <w:t xml:space="preserve">Going Private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SEC has adopted Rule 13e-3 under the Exchange Act, which is applicable to certain “going private” transactions, and which may under certain circumstances be applicable to the Merger or another business combination following the purchase of Shares pursuant to the Offer in which we seek to acquire the remaining Shares not then held by us. We believe that Rule 13e-3 under the Exchange Act will not be applicable to the Merger because (i) we were not, at the time the Merger Agreement was executed, and are not, an affiliate of Adverum for purposes of the Exchange Act; (ii) we anticipate that the Merger will be effected as soon as practicable after the consummation of the Offer (and in any event within one year following the consummation of the Offer); and (iii) in the Merger, stockholders will receive the same price per Share as the Offer Price.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Stockholder Approval Not Required </w:t>
      </w:r>
    </w:p>
    <w:p>
      <w:pPr>
        <w:pStyle w:val="TextBody"/>
        <w:bidi w:val="0"/>
        <w:spacing w:before="120" w:after="0"/>
        <w:jc w:val="left"/>
        <w:rPr>
          <w:rFonts w:ascii="Times New Roman" w:hAnsi="Times New Roman"/>
          <w:sz w:val="20"/>
        </w:rPr>
      </w:pPr>
      <w:r>
        <w:rPr>
          <w:rFonts w:ascii="Times New Roman" w:hAnsi="Times New Roman"/>
          <w:sz w:val="20"/>
        </w:rPr>
        <w:t xml:space="preserve">Section 251(h) generally provides that stockholder approval of a merger is not required if certain requirements are met, including that: (i) the merger agreement expressly permits or requires the merger to be effected pursuant to Section 251(h) and provides that such merger be effected as soon as practicable following the consummation of the tender offer; (ii) the purchaser must tender for all outstanding shares on the terms provided in such agreement of merger that, absent the provisions of Section 251(h) of the DGCL, would be entitled to vote on the adoption or rejection of the agreement of merger, provided, however, that such tender offer may be conditioned on the tender of a minimum number or percentage of shares of the stock of such constituent corporation, or any class or series thereof, and such offer may exclude any excluded stock; (iii) immediately following the consummation of the tender offer, the purchaser must own the requisite number of shares of the target corporation to adopt the merger agreement if a meeting of stockholders had to be called; (iv) the purchaser must merge with or into the target corporation pursuant to the merger agreement; and (v) the outstanding shares of stock of the target corporation that are not purchased in the tender offer must be converted in the merger into, or into the right to receive, the same amount and kind of consideration that was paid for shares of stock of the target corporation in the tender offer. If the Minimum Tender Condition is satisfied and we accept Shares for payment pursuant to the Offer, we will hold a sufficient number of Shares to consummate the Merger 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251(h) without submitting the adoption of the Merger Agreement to a vote of the Adverum stockholders. Following the consummation of the Offer and subject to the satisfaction of the remaining conditions set forth in the Merger Agreement, Lilly, Purchaser and Adverum will take all necessary and appropriate action to effect the Merger as soon as practicable without a meeting of Adverum stockholders in accordance with Section 251(h).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bookmarkStart w:id="23" w:name="toc67752_20"/>
            <w:bookmarkEnd w:id="23"/>
            <w:r>
              <w:rPr>
                <w:b/>
              </w:rPr>
              <w:t>17.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Appraisal Rights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 appraisal rights are available in connection with the Offer, and the holders of Shares who tender such Shares in connection with the Offer will not have appraisal rights in connection with the Merger with respect to such tendered Shares. However, if the Offer is successful and the Merger is consummated, Adverum’s stockholders and beneficial owners immediately prior to the Effective Time who (i) did not tender their Shares in the Offer (or, if tendered, validly and subsequently withdrew such Shares prior to the Expiration Time); (ii) make the demand described below; (iii) have not otherwise waived appraisal rights; and (iv) otherwise comply with the statutory requirements of Section 262 (and who do not thereafter lose their appraisal rights by withdrawal, failure to perfect or otherwise), will be entitled to seek appraisal of their Shares in connection with the Merger under Section 262 and to receive payment in cash for the “fair value” of such Shares, exclusive of any element of value arising from the accomplishment or expectation of the Merger, as determined by the Delaware Court together with interest, if any, to be paid upon the amount determined to be the fair value of such Shares. These rights are known as appraisal rights under Delaware law.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such Shares as determined by the Delaware Court may be greater than, the same as or less than the Offer Price or the consideration payable in the Merger (which is equivalent to the Offer Price). In addition, as described below, a beneficial owner who complies with the requirements of Section 262 may, in such person’s name, demand in writing an appraisal of such beneficial owner’s Shares in accordance with Section 262. The following discussion is not a complete statement of the law pertaining to appraisal rights under the DGCL and is qualified in its entirety by the full text of Section 262, which may be accessed without subscription or cost at the following publicly available website: https://delcode.delaware.gov/title8/c001/sc09/index.html#262. The following summary does not constitute any legal or other advice and does not constitute a recommendation that stockholders or beneficial owners of the Shares exercise their appraisal rights under Section 262. </w:t>
      </w:r>
    </w:p>
    <w:p>
      <w:pPr>
        <w:pStyle w:val="TextBody"/>
        <w:bidi w:val="0"/>
        <w:spacing w:before="240" w:after="0"/>
        <w:jc w:val="left"/>
        <w:rPr>
          <w:rFonts w:ascii="Times New Roman" w:hAnsi="Times New Roman"/>
          <w:sz w:val="20"/>
        </w:rPr>
      </w:pPr>
      <w:r>
        <w:rPr>
          <w:rFonts w:ascii="Times New Roman" w:hAnsi="Times New Roman"/>
          <w:sz w:val="20"/>
        </w:rPr>
        <w:t xml:space="preserve">Any person contemplating the exercise of such appraisal rights should carefully review the provisions of Section 262, which may be accessed without subscription or cost at the link in the preceding paragraph, particularly the procedural steps required to properly demand and perfect such rights. Failure to follow the steps required by Section 262 for demanding and perfecting appraisal rights may result in the loss of such rights. Unless otherwise expressly noted herein, all references in Section 262 and in this summary to a (i) “stockholder” are to the record holder of Shares, (ii) “beneficial owner” are to a person who is the beneficial owner of shares of Shares held either in voting trust or by a nominee on behalf of such person, and (iii) “person” are to an individual, corporation, partnership, unincorporated association or other entity. </w:t>
      </w:r>
    </w:p>
    <w:p>
      <w:pPr>
        <w:pStyle w:val="TextBody"/>
        <w:bidi w:val="0"/>
        <w:spacing w:before="240" w:after="0"/>
        <w:jc w:val="left"/>
        <w:rPr>
          <w:rFonts w:ascii="Times New Roman" w:hAnsi="Times New Roman"/>
          <w:sz w:val="20"/>
        </w:rPr>
      </w:pPr>
      <w:r>
        <w:rPr>
          <w:rFonts w:ascii="Times New Roman" w:hAnsi="Times New Roman"/>
          <w:sz w:val="20"/>
        </w:rPr>
        <w:t xml:space="preserve">Under Section 262, where a merger is approved pursuant to Section 251(h), the corporation before the effective date of the merger, or the surviving corporation within 10 days after the effective date of such merger, must notify each of its stockholders who is entitled to appraisal rights of the approval of the merger and that appraisal rights are available, and must include in the notice either a copy of Section 262 or information directing the stockholders to a publicly available electronic resource at which Section 262 may be accessed without subscription or cost. The Schedule 14D-9 constitutes Adverum’s notice to the holders of Shares that appraisal rights are available in connection with the Merger, and the full text of Section 262 may be accessed without subscription or cost at the following publicly available website: https://delcode.delaware.gov/title8/c001/sc09/index.html#262. In connection with the Merger, any person who wishes to exercise appraisal rights, or who wishes to preserve his, her or its right to do so, should review the following discussion and Section 262 carefully. Failure to strictly comply with the requirements of Section 262 in a timely and proper manner may result in the loss of appraisal rights under the DGCL. Moreover, because of the complexity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procedures for exercising the right to seek appraisal, any person wishing to exercise such appraisal rights should seek the advice of legal counsel. </w:t>
      </w:r>
    </w:p>
    <w:p>
      <w:pPr>
        <w:pStyle w:val="TextBody"/>
        <w:bidi w:val="0"/>
        <w:spacing w:before="240" w:after="0"/>
        <w:jc w:val="left"/>
        <w:rPr>
          <w:rFonts w:ascii="Times New Roman" w:hAnsi="Times New Roman"/>
          <w:sz w:val="20"/>
        </w:rPr>
      </w:pPr>
      <w:r>
        <w:rPr>
          <w:rFonts w:ascii="Times New Roman" w:hAnsi="Times New Roman"/>
          <w:sz w:val="20"/>
        </w:rPr>
        <w:t xml:space="preserve">A person who loses his, her or its appraisal rights will be entitled to receive the Offer Price. Persons who validly tender and do not validly withdraw Shares in the Offer will not be entitled to exercise appraisal rights with respect thereto, but, instead, upon the terms and subject to the conditions of the Offer, will receive the Offer Price. </w:t>
      </w:r>
    </w:p>
    <w:p>
      <w:pPr>
        <w:pStyle w:val="TextBody"/>
        <w:bidi w:val="0"/>
        <w:spacing w:before="240" w:after="0"/>
        <w:jc w:val="left"/>
        <w:rPr>
          <w:rFonts w:ascii="Times New Roman" w:hAnsi="Times New Roman"/>
          <w:sz w:val="20"/>
        </w:rPr>
      </w:pPr>
      <w:r>
        <w:rPr>
          <w:rFonts w:ascii="Times New Roman" w:hAnsi="Times New Roman"/>
          <w:sz w:val="20"/>
        </w:rPr>
        <w:t xml:space="preserve">The statutory rights of appraisal granted by Section 262 require strict compliance with the procedures set forth in Section 262. Stockholders and beneficial owners wishing to exercise the right to seek an appraisal of their Shares must satisfy all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within the later of (i) the consummation of the Offer, which occurs when Purchaser has irrevocably accepted for payment Shares tendered into the Offer following the Expiration Time, and (ii) 20 days after the date of mailing of the Schedule 14D-9, deliver to Adverum (as the Surviving Corporation) at the address indicated below a written demand for appraisal of such person’s Shares, which demand must reasonably inform Adverum of the identity of the stockholder or beneficial owner and that such stockholder or beneficial owner intends thereby to demand appraisal of such stockholder’s or beneficial owner’s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tender such stockholder’s or beneficial owner’s Shares in the Offer (or otherwise waive such person’s appraisal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continuously hold of record or beneficially own, as applicable, the Shares from the date on which the written demand for appraisal is made through the Effective Time;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 with the procedures of Section 262 for perfecting appraisal rights thereafter.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 stockholder’s or beneficial owner’s compliance with the foregoing requirements, the Delaware Court will dismiss the appraisal proceedings as to all holders who are otherwise entitled to appraisal rights, and such holders will effectively lose their appraisal rights, unless (a) the total number of Shares entitled to appraisal rights exceeds 1% of the outstanding Shares eligible for appraisal or (b) the value of the Merger Consideration for such total number of Shares entitled to appraisal rights exceeds $1 million (conditions (a) and (b) in this sentence are referred to as the “ownership threshold”).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consummated pursuant to Section 251(h), on or within 10 days after the Effective Time (as required by Section 262(d)(2) of the DGCL), the Surviving Corporation will deliver an additional notice of the Effective Time to all holders of Shares; provided, that if such second notice is sent later than the later of the consummation of the Offer and 20 days following the sending of this notice, such second notice need only be sent to each stockholder who is entitled to appraisal rights and who has demanded appraisal of such holder’s shares and any beneficial owner who has demanded appraisal under paragraph (d)(3) of Section 262. If the Merger is consummated pursuant to Section 251(h), a failure to deliver a written demand for appraisal in accordance with the time periods specified above will be deemed to be a waiver or a termination of appraisal rights. </w:t>
      </w:r>
    </w:p>
    <w:p>
      <w:pPr>
        <w:pStyle w:val="TextBody"/>
        <w:bidi w:val="0"/>
        <w:spacing w:before="240" w:after="0"/>
        <w:jc w:val="left"/>
        <w:rPr>
          <w:rFonts w:ascii="Times New Roman" w:hAnsi="Times New Roman"/>
          <w:sz w:val="20"/>
        </w:rPr>
      </w:pPr>
      <w:r>
        <w:rPr>
          <w:rFonts w:ascii="Times New Roman" w:hAnsi="Times New Roman"/>
          <w:sz w:val="20"/>
        </w:rPr>
        <w:t xml:space="preserve">Any person who has complied with the applicable requirements of Section 262 and is otherwise entitled to appraisal rights or the Surviving Corporation may file a petition in the Delaware Court demanding a determination of the value of the Shares held by all such persons within 120 days after the Effective Time. The Surviving Corporation is under no obligation to file any petition and has no intention of doing so. </w:t>
      </w:r>
    </w:p>
    <w:p>
      <w:pPr>
        <w:pStyle w:val="TextBody"/>
        <w:bidi w:val="0"/>
        <w:spacing w:before="240" w:after="0"/>
        <w:jc w:val="left"/>
        <w:rPr>
          <w:rFonts w:ascii="Times New Roman" w:hAnsi="Times New Roman"/>
          <w:sz w:val="20"/>
        </w:rPr>
      </w:pPr>
      <w:r>
        <w:rPr>
          <w:rFonts w:ascii="Times New Roman" w:hAnsi="Times New Roman"/>
          <w:sz w:val="20"/>
        </w:rPr>
        <w:t xml:space="preserve">In addition, after an appraisal petition has been filed, the Delaware Court, at a hearing to determine persons entitled to appraisal rights, will dismiss appraisal proceedings as to all persons who asserted appraisal rights unless one of the ownership thresholds is met.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Written Demand by Stockholders or Beneficial Owners </w:t>
      </w:r>
    </w:p>
    <w:p>
      <w:pPr>
        <w:pStyle w:val="TextBody"/>
        <w:bidi w:val="0"/>
        <w:spacing w:before="120" w:after="0"/>
        <w:jc w:val="left"/>
        <w:rPr>
          <w:rFonts w:ascii="Times New Roman" w:hAnsi="Times New Roman"/>
          <w:sz w:val="20"/>
        </w:rPr>
      </w:pPr>
      <w:r>
        <w:rPr>
          <w:rFonts w:ascii="Times New Roman" w:hAnsi="Times New Roman"/>
          <w:sz w:val="20"/>
        </w:rPr>
        <w:t xml:space="preserve">All written demands for appraisal pursuant to Section 262 should be mailed or delivered to the following address: </w:t>
      </w:r>
    </w:p>
    <w:p>
      <w:pPr>
        <w:pStyle w:val="TextBody"/>
        <w:bidi w:val="0"/>
        <w:spacing w:before="120" w:after="0"/>
        <w:jc w:val="center"/>
        <w:rPr>
          <w:rFonts w:ascii="Times New Roman" w:hAnsi="Times New Roman"/>
          <w:sz w:val="20"/>
        </w:rPr>
      </w:pPr>
      <w:r>
        <w:rPr>
          <w:rFonts w:ascii="Times New Roman" w:hAnsi="Times New Roman"/>
          <w:sz w:val="20"/>
        </w:rPr>
        <w:t xml:space="preserve">Adverum Biotechnologies, Inc. </w:t>
      </w:r>
    </w:p>
    <w:p>
      <w:pPr>
        <w:pStyle w:val="TextBody"/>
        <w:bidi w:val="0"/>
        <w:spacing w:before="0" w:after="0"/>
        <w:jc w:val="center"/>
        <w:rPr>
          <w:rFonts w:ascii="Times New Roman" w:hAnsi="Times New Roman"/>
          <w:sz w:val="20"/>
        </w:rPr>
      </w:pPr>
      <w:r>
        <w:rPr>
          <w:rFonts w:ascii="Times New Roman" w:hAnsi="Times New Roman"/>
          <w:sz w:val="20"/>
        </w:rPr>
        <w:t xml:space="preserve">100 Cardinal Way </w:t>
      </w:r>
    </w:p>
    <w:p>
      <w:pPr>
        <w:pStyle w:val="TextBody"/>
        <w:bidi w:val="0"/>
        <w:spacing w:before="0" w:after="0"/>
        <w:jc w:val="center"/>
        <w:rPr>
          <w:rFonts w:ascii="Times New Roman" w:hAnsi="Times New Roman"/>
          <w:sz w:val="20"/>
        </w:rPr>
      </w:pPr>
      <w:r>
        <w:rPr>
          <w:rFonts w:ascii="Times New Roman" w:hAnsi="Times New Roman"/>
          <w:sz w:val="20"/>
        </w:rPr>
        <w:t xml:space="preserve">Redwood City, CA 94063 </w:t>
      </w:r>
    </w:p>
    <w:p>
      <w:pPr>
        <w:pStyle w:val="TextBody"/>
        <w:bidi w:val="0"/>
        <w:spacing w:before="0" w:after="0"/>
        <w:jc w:val="center"/>
        <w:rPr>
          <w:rFonts w:ascii="Times New Roman" w:hAnsi="Times New Roman"/>
          <w:sz w:val="20"/>
        </w:rPr>
      </w:pPr>
      <w:r>
        <w:rPr>
          <w:rFonts w:ascii="Times New Roman" w:hAnsi="Times New Roman"/>
          <w:sz w:val="20"/>
        </w:rPr>
        <w:t xml:space="preserve">Attn: General Counsel </w:t>
      </w:r>
    </w:p>
    <w:p>
      <w:pPr>
        <w:pStyle w:val="TextBody"/>
        <w:bidi w:val="0"/>
        <w:spacing w:before="240" w:after="0"/>
        <w:jc w:val="left"/>
        <w:rPr>
          <w:rFonts w:ascii="Times New Roman" w:hAnsi="Times New Roman"/>
          <w:sz w:val="20"/>
        </w:rPr>
      </w:pPr>
      <w:r>
        <w:rPr>
          <w:rFonts w:ascii="Times New Roman" w:hAnsi="Times New Roman"/>
          <w:sz w:val="20"/>
        </w:rPr>
        <w:t xml:space="preserve">The written demand for appraisal by a stockholder of record must be executed by or for the stockholder and must reasonably inform Adverum of the identity of the stockholder of record, and that such stockholder intends thereby to demand appraisal of their Shares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case of a written demand for appraisal made by a beneficial owner, a beneficial owner may, in such person’s name, demand in writing an appraisal of such beneficial owner’s Shares in accordance with the procedures of Section 262, summarized herein, provided that (i) such beneficial owner continuously owns such Shares through the Effective Time and otherwise satisfies the requirements applicable to a stockholder under the first sentence of subsection (a) of Section 262, and (ii) the demand made by such beneficial owner reasonably identifies the holder of record of the Shares for which the demand is made, is accompanied by documentary evidence of such beneficial owner’s beneficial ownership of stock (such as a brokerage or securities account statement containing such information or a letter from the broker or other record holder of such Shares confirming such information) and a statement that such documentary evidence is a true and correct copy of what it purports to be, and provides an address at which such beneficial owner consents to receive notices given by Adverum under Section 262 and to be set forth on the Verified List (as defined below). Although not expressly required by Section 262, Adverum reserves the right to take the position that it may require the submission of all information required of a beneficial owner under subsection (d)(3) of Section 262 with respect to any person sharing beneficial ownership of the Shares for which such demand is submitted. If a stockholder of record is submitting a demand with respect to Shares owned of record in a fiduciary capacity, such as by a trustee, guardian or custodian, execution of the demand must be made in that capacity, and if the Shares are owned of record by more than one person, such as in a joint tenancy or tenancy in common, the demand must be executed by or for all joint owners. An authorized agent, including one of two or more joint owners, may execute the demand for appraisal for a stockholder of record. However, the agent must identify the record owner(s) and expressly disclose the fact that, in executing the demand, the agent is acting as agent for the record owner(s). </w:t>
      </w:r>
    </w:p>
    <w:p>
      <w:pPr>
        <w:pStyle w:val="TextBody"/>
        <w:bidi w:val="0"/>
        <w:spacing w:before="240" w:after="0"/>
        <w:jc w:val="left"/>
        <w:rPr>
          <w:rFonts w:ascii="Times New Roman" w:hAnsi="Times New Roman"/>
          <w:sz w:val="20"/>
        </w:rPr>
      </w:pPr>
      <w:r>
        <w:rPr>
          <w:rFonts w:ascii="Times New Roman" w:hAnsi="Times New Roman"/>
          <w:sz w:val="20"/>
        </w:rPr>
        <w:t xml:space="preserve">A record holder, such as a broker, bank, fiduciary, depository or other nominee, who holds Shares as a nominee or intermediary for one or more beneficial owners may exercise appraisal rights with respect to the Shares held for one or more beneficial owners while not exercising such rights with respect to the Shares held for other beneficial owners. In such case, the written demand must set forth the number of Shares covered by the demand. Where the number of Shares is not expressly stated, the demand will be presumed to cover all Shares held in the name of the record owner. </w:t>
      </w:r>
    </w:p>
    <w:p>
      <w:pPr>
        <w:pStyle w:val="TextBody"/>
        <w:bidi w:val="0"/>
        <w:spacing w:before="360" w:after="0"/>
        <w:jc w:val="left"/>
        <w:rPr>
          <w:rFonts w:ascii="Times New Roman" w:hAnsi="Times New Roman"/>
          <w:b/>
          <w:i/>
          <w:sz w:val="20"/>
        </w:rPr>
      </w:pPr>
      <w:r>
        <w:rPr>
          <w:rFonts w:ascii="Times New Roman" w:hAnsi="Times New Roman"/>
          <w:b/>
          <w:i/>
          <w:sz w:val="20"/>
        </w:rPr>
        <w:t xml:space="preserve">Filing a Petition for Appraisal </w:t>
      </w:r>
    </w:p>
    <w:p>
      <w:pPr>
        <w:pStyle w:val="TextBody"/>
        <w:bidi w:val="0"/>
        <w:spacing w:before="120" w:after="0"/>
        <w:jc w:val="left"/>
        <w:rPr>
          <w:rFonts w:ascii="Times New Roman" w:hAnsi="Times New Roman"/>
          <w:sz w:val="20"/>
        </w:rPr>
      </w:pPr>
      <w:r>
        <w:rPr>
          <w:rFonts w:ascii="Times New Roman" w:hAnsi="Times New Roman"/>
          <w:sz w:val="20"/>
        </w:rPr>
        <w:t xml:space="preserve">Within 120 days after the Effective Time, but not thereafter, the Surviving Corporation or any person who has demanded appraisal of such person’s Shares and who otherwise has complied with Section 262 and is entitled to seek appraisal under Section 262, may commence an appraisal proceeding by filing a petition in the Delaware Court, with a copy served on the Surviving Corporation in the case of a petition filed by a Company stockholder or beneficial owner, demanding a determination of the fair value of the Shares held by all such persons entitled to appraisal. If no such petition is filed within the 120-day period, appraisal rights will be lost for all persons who had previously demanded appraisal of their Shares. The Surviving Corporation is under no obligation, and has no present intention, to file a petition, and no person should assume that the Surviving Corporation will file a petition or initiate any negotiations with respect to the “fair value” of the Shares. Accordingly, any Adverum stockholders or beneficial owners who desire to have their Shares appraised should initiate all necessary action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perfect their appraisal rights in respect of their Shares within the time and in the manner prescribed in Section 262. The failure of a record holder or beneficial owner of Adverum common stock to file such a petition within the period specified in Section 262 could nullify such person’s previous written demand for appraisal. Within 120 days after the Effective Time, any person who has complied with the requirements of Section 262 will be entitled, upon written request, to receive from the Surviving Corporation a statement setting forth the aggregate number of Shares (other than any “excluded stock,” as defined in Section 251(h)(6)d of the DGCL) that were the subject of, and were not tendered into, and accepted for purchase or exchange in, the Offer and with respect to which Adverum has received demands for appraisal, and the aggregate number of stockholders or beneficial owners holding or owning such Shares (provided that, where a beneficial owner makes a demand on his, her or its own behalf, the record holder of such Shares will not be considered a separate stockholder holding such Shares for purposes of such aggregate number). The Surviving Corporation must send this statement to the requesting person within 10 days after receipt by the Surviving Corporation of the written request for such a statement or within 10 days after the expiration of the period for delivery of demands for appraisal, whichever is later. </w:t>
      </w:r>
    </w:p>
    <w:p>
      <w:pPr>
        <w:pStyle w:val="TextBody"/>
        <w:bidi w:val="0"/>
        <w:spacing w:before="240" w:after="0"/>
        <w:jc w:val="left"/>
        <w:rPr>
          <w:rFonts w:ascii="Times New Roman" w:hAnsi="Times New Roman"/>
          <w:sz w:val="20"/>
        </w:rPr>
      </w:pPr>
      <w:r>
        <w:rPr>
          <w:rFonts w:ascii="Times New Roman" w:hAnsi="Times New Roman"/>
          <w:sz w:val="20"/>
        </w:rPr>
        <w:t xml:space="preserve">If a petition for an appraisal is duly filed by any person other than the Surviving Corporation, service of a copy thereof must be made upon the Surviving Corporation, which will then be obligated within 20 days after such service to file with the office of the Delaware Register in Chancery in which the petition was filed a duly verified list (the “Verified List”) containing the names and addresses of all persons who have demanded appraisal for their Shares and with whom agreements as to the value of their Shares have not been reached. Upon the filing of any such petition, the Delaware Court may order a hearing and that notice of the time and place fixed for the hearing on the petition be mailed to the Surviving Corporation and all of the persons shown on the Verified List at the addresses stated therein. The forms of the notices by mail and by publication will be approved by the Delaware Court, and the costs thereof will be borne by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After such notice to the persons shown on the Verified List as required by the Delaware Court, the Delaware Court is empowered to conduct a hearing on the petition to determine those persons who have complied with Section 262 and who have become entitled to appraisal rights thereunder. The Delaware Court may require persons who have demanded an appraisal for their Shares and who hold Shares represented by certificates (if any) to submit their stock certificates to the Delaware Register in Chancery for notation thereon of the pendency of the appraisal proceeding and, if any person fails to comply with such direction, the Delaware Court may dismiss the proceedings as to such person. In addition, assuming the Shares remained listed on a national securities exchange immediately prior to the Effective Time of the Merger, the Delaware Court will dismiss appraisal proceedings as to all persons who have asserted appraisal rights if neither of the ownership thresholds is met. </w:t>
      </w:r>
    </w:p>
    <w:p>
      <w:pPr>
        <w:pStyle w:val="TextBody"/>
        <w:bidi w:val="0"/>
        <w:spacing w:before="360" w:after="0"/>
        <w:jc w:val="left"/>
        <w:rPr>
          <w:rFonts w:ascii="Times New Roman" w:hAnsi="Times New Roman"/>
          <w:b/>
          <w:i/>
          <w:sz w:val="20"/>
        </w:rPr>
      </w:pPr>
      <w:r>
        <w:rPr>
          <w:rFonts w:ascii="Times New Roman" w:hAnsi="Times New Roman"/>
          <w:b/>
          <w:i/>
          <w:sz w:val="20"/>
        </w:rPr>
        <w:t xml:space="preserve">Determination of “Fair Value” </w:t>
      </w:r>
    </w:p>
    <w:p>
      <w:pPr>
        <w:pStyle w:val="TextBody"/>
        <w:bidi w:val="0"/>
        <w:spacing w:before="120" w:after="0"/>
        <w:jc w:val="left"/>
        <w:rPr>
          <w:rFonts w:ascii="Times New Roman" w:hAnsi="Times New Roman"/>
          <w:sz w:val="20"/>
        </w:rPr>
      </w:pPr>
      <w:r>
        <w:rPr>
          <w:rFonts w:ascii="Times New Roman" w:hAnsi="Times New Roman"/>
          <w:sz w:val="20"/>
        </w:rPr>
        <w:t xml:space="preserve">After the Delaware Court determines which persons are entitled to appraisal and that at least one of the ownership thresholds described above has been satisfied as to the persons seeking appraisal rights, the appraisal proceeding will be conducted in accordance with the rules of the Delaware Court, including any rules specifically governing appraisal proceedings. Through such proceeding, the Delaware Court will determine the “fair value” of the Shares, exclusive of any element of value arising from the accomplishment or expectation of the Merger, together with interest, if any, to be paid upon the amount determined to be the “fair value.” Unless the Delaware Court in its discretion determines otherwise for good cause shown, interest from the Effective Time through the date of payment of the judgment will compound quarterly and accrue at 5% over the Federal Reserve discount rate (including any surcharge) as established from time to time during the period between the Effective Time and the date the judgment is paid. However, at any time before the Delaware Court enters judgment in the appraisal proceedings, the Surviving Corporation may pay to each person entitled to appraisal an amount in cash, in which case such interest will accrue after the time of such payment only on the sum of (i) the difference, if any, between the amount so paid by the Surviving Corporation and the “fair value” of the Shares as determined by the Delaware Court, and (ii) interest accrued prior to the time of such voluntary payment, unless paid at that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Adverum, Lilly and Purchaser have made no determination as to whether a payment may be made if the Merger is consummated, and each of Adverum and Lilly reserves the right to make such a payment, if at all, at such time as it determines to be advisable.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“fair value,” the Delaware Court will take into account all relevant factors. In Weinberger v. UOP, Inc.,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stated that, in making this determination of “fair value,” the court must consider market value, asset value, dividends, earnings prospects, the nature of the enterprise and any other facts that could be ascertained as of the date of the Merger that throw any light on future prospects of the merged corporation. Section 262 provides that “fair value” is to be “exclusive of any element of value arising from the accomplishment or expectation of the Merger.” In Cede &amp; Co. v. Technicolor, Inc., the Delaware Supreme Court stated that such exclusion is a “narrow exclusion [that] does not encompass known elements of value,” but which rather applies only to the speculative elements of value arising from such accomplishment or expectation. In Weinberger, the Delaware Supreme Court also stated that “elements of future value, including the nature of the enterprise, which are known or susceptible of proof as of the date of the Merger and not the product of speculation, may be considered.” </w:t>
      </w:r>
    </w:p>
    <w:p>
      <w:pPr>
        <w:pStyle w:val="TextBody"/>
        <w:bidi w:val="0"/>
        <w:spacing w:before="240" w:after="0"/>
        <w:jc w:val="left"/>
        <w:rPr>
          <w:rFonts w:ascii="Times New Roman" w:hAnsi="Times New Roman"/>
          <w:sz w:val="20"/>
        </w:rPr>
      </w:pPr>
      <w:r>
        <w:rPr>
          <w:rFonts w:ascii="Times New Roman" w:hAnsi="Times New Roman"/>
          <w:sz w:val="20"/>
        </w:rPr>
        <w:t xml:space="preserve">Persons considering seeking appraisal should be aware that the “fair value” of their Shares as so determined by the Delaware Court could be more than, the same as or less than the Offer Price (which is equivalent to the Merger Consideration) if they did not seek appraisal of their Shares and that an opinion of an investment banking firm as to the fairness from a financial point of view of the Offer Price is not an opinion as to, and may not in any manner address, “fair value” under Section 262. Although Lilly has been advised that Adverum believes that the Offer Price (which is equivalent to the Merger Consideration) is fair, no representation is made as to the outcome of the appraisal of “fair value” as determined by the Delaware Court, and persons seeking appraisal should recognize that such an appraisal could result in a determination of a value higher or lower than, or the same as, the Offer Price. Neither Adverum nor Lilly anticipates offering more than the Merger Consideration to any person exercising appraisal rights, and each of Adverum and Lilly reserves the right to assert in any appraisal proceeding that, for purposes of Section 262, the “fair value” of a Share is less than the Offer Price. </w:t>
      </w:r>
    </w:p>
    <w:p>
      <w:pPr>
        <w:pStyle w:val="TextBody"/>
        <w:bidi w:val="0"/>
        <w:spacing w:before="240" w:after="0"/>
        <w:jc w:val="left"/>
        <w:rPr>
          <w:rFonts w:ascii="Times New Roman" w:hAnsi="Times New Roman"/>
          <w:sz w:val="20"/>
        </w:rPr>
      </w:pPr>
      <w:r>
        <w:rPr>
          <w:rFonts w:ascii="Times New Roman" w:hAnsi="Times New Roman"/>
          <w:sz w:val="20"/>
        </w:rPr>
        <w:t xml:space="preserve">Upon application by the Surviving Corporation or by any person entitled to participate in the appraisal proceeding, the Delaware Court may, in its discretion, proceed to trial upon the appraisal prior to the final determination of the persons entitled to an appraisal. Any person whose name appears on the Verified List and, if such Shares are represented by certificates and if so required, who has submitted such person’s certificates of stock to the office of the Delaware Register in Chancery, may participate fully in all proceedings until it is finally determined that such person is not entitled to appraisal rights under Section 262. </w:t>
      </w:r>
    </w:p>
    <w:p>
      <w:pPr>
        <w:pStyle w:val="TextBody"/>
        <w:bidi w:val="0"/>
        <w:spacing w:before="240" w:after="0"/>
        <w:jc w:val="left"/>
        <w:rPr>
          <w:rFonts w:ascii="Times New Roman" w:hAnsi="Times New Roman"/>
          <w:sz w:val="20"/>
        </w:rPr>
      </w:pPr>
      <w:r>
        <w:rPr>
          <w:rFonts w:ascii="Times New Roman" w:hAnsi="Times New Roman"/>
          <w:sz w:val="20"/>
        </w:rPr>
        <w:t xml:space="preserve">The Delaware Court will direct the payment of the fair value of the Shares, together with interest, if any, on the amount determined to be the fair value (or, in certain circumstances described herein, on the difference between the amount determined to be the fair value and the amount paid by the Surviving Corporation to each person entitled to appraisal prior to the entry of judgment in the appraisal proceeding), by the Surviving Corporation to the persons entitled thereto. Payment will be made to each such person upon such terms and conditions as the Delaware Court may order, in the case of stockholder or beneficial owners of uncertificated stock, forthwith, and in the case of stockholders or beneficial owners of Shares represented by certificates, if any, upon the surrender to the Surviving Corporation of the certificate(s) representing such Shares. The Delaware Court’s decree may be enforced as other decrees in the Delaware Court may be enforced. </w:t>
      </w:r>
    </w:p>
    <w:p>
      <w:pPr>
        <w:pStyle w:val="TextBody"/>
        <w:bidi w:val="0"/>
        <w:spacing w:before="240" w:after="0"/>
        <w:jc w:val="left"/>
        <w:rPr>
          <w:rFonts w:ascii="Times New Roman" w:hAnsi="Times New Roman"/>
          <w:sz w:val="20"/>
        </w:rPr>
      </w:pPr>
      <w:r>
        <w:rPr>
          <w:rFonts w:ascii="Times New Roman" w:hAnsi="Times New Roman"/>
          <w:sz w:val="20"/>
        </w:rPr>
        <w:t xml:space="preserve">The costs of the appraisal proceedings (which do not include attorneys’ fees or the fees and expenses of experts) may be determined by the Delaware Court and taxed upon the parties as the Delaware Court deems equitable under the circumstances. Upon application of a person whose name appears on the Verified List who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participated in the proceeding and incurred expenses in connection therewith, the Delaware Court may also order that all or a portion of such expenses, including, without limitation, reasonable attorneys’ fees and the fees and expenses of experts utilized in the appraisal proceeding, be charged pro rata against the value of all the Shares entitled to appraisal not dismissed pursuant to subsection (k) of Section 262 or subject to such an award pursuant to a reservation of jurisdiction under subsection (k) of Section 262. In the absence of such order, each party bears its own expenses.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the Effective Time, no person who has demanded appraisal rights with respect to some or all of such person’s Shares in compliance with Section 262 will be entitled to tender such Shares, to vote such Shares or to receive payment of dividends or other distributions on such Shares, except dividends or other distributions payable to stockholders of record at a date which is prior to the Effective Time. If a person who has made a demand for an appraisal in accordance with Section 262 delivers to the Surviving Corporation a written withdrawal of such person’s demand for an appraisal in respect of some or all of such person’s Shares either within 60 days after the Effective Time or thereafter with the written approval of Adverum, then the right of such person to an appraisal of the Shares subject to the withdrawal will cease. Once a petition for appraisal is filed with the Delaware Court, however, the appraisal proceeding may not be dismissed as to any person without the approval of the Delaware Court, and such approval may be conditioned upon such terms as the court deems just, including without limitation a reservation of jurisdiction for any application to the Delaware Court made under subsection (j) of Section 262; provided, however, that the foregoing shall not affect the right of any person who has not commenced an appraisal proceeding or joined that proceeding as a named party to withdraw such person’s demand for appraisal and to accept the terms offered upon the Merger within 60 days after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Failure to comply strictly with all of the procedures set forth in Section 262 may result in the loss of a stockholder’s or beneficial owner’s statutory appraisal rights. If any person who demands appraisal of his, her or its Shares under Section 262 fails to perfect, or effectively loses or withdraws such person’s right to appraisal, the person’s Shares will be deemed to have been converted at the Effective Time into the right to receive the Merger Consideration, without interest. Consequently, any stockholder or beneficial owner wishing to exercise appraisal rights is encouraged to consult legal counsel before attempting to exercise those rights.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not a complete statement of the law pertaining to appraisal rights under the DGCL and is qualified in its entirety by the full text of Section 262, which may be accessed without subscription or cost at the following publicly available website: https://delcode.delaware.gov/title8/c001/sc09/index.html#262. The proper exercise of appraisal rights requires strict adherence to Section 262.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bookmarkStart w:id="24" w:name="toc67752_21"/>
            <w:bookmarkEnd w:id="24"/>
            <w:r>
              <w:rPr>
                <w:b/>
              </w:rPr>
              <w:t>18.</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Fees and Expenses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Purchaser has retained Georgeson LLC to be the Information Agent and Computershare Trust to be the Depositary in connection with the Offer. The Information Agent may contact holders of Shares by mail, telephone and personal interview and may request banks, brokers, dealers, commercial banks, trust companies and other nominees to forward materials relating to the Offer to beneficial owners of Shares.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Agent and the Depositary will each receive reasonable and customary compensation for their respective services in connection with the Offer, will be reimbursed for reasonable out-of-pocket expenses and will be indemnified against certain liabilities and expenses in connection therewith, including certain liabilities under federal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Neither Lilly nor Purchaser will pay any fees or commissions to any broker, dealer, commercial bank, trust company or to any other person (other than to the Depositary and the Information Agent) in connection with the solicitation of tenders of Shares pursuant to the Offer. Brokers, dealers, commercial banks and trust companies will, upon request, be reimbursed by Purchaser for customary mailing and handling expenses incurred by them in forwarding offering materials to the beneficial owners of Shares. In those jurisdictions where applicable laws or regulations require the Offer to be made by a licensed broker or dealer, the Offer will be deemed to be made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behalf of Purchaser by one or more registered brokers or dealers licensed under the laws of such jurisdiction to be designated by Purchaser.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bookmarkStart w:id="25" w:name="toc67752_22"/>
            <w:bookmarkEnd w:id="25"/>
            <w:r>
              <w:rPr>
                <w:b/>
              </w:rPr>
              <w:t>19.</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Miscellaneous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Offer is not being made to (nor will tenders be accepted from or on behalf of) holders of Shares in any jurisdiction in which the making of the Offer or acceptance thereof would not be in compliance with the laws of such jurisdiction. In those jurisdictions where applicable laws or regulations require the Offer to be made by a licensed broker or dealer, the Offer will be deemed to be made on behalf of Purchaser by one or more registered brokers or dealers licensed under the laws of such jurisdiction to be designated by Purchaser. </w:t>
      </w:r>
    </w:p>
    <w:p>
      <w:pPr>
        <w:pStyle w:val="TextBody"/>
        <w:bidi w:val="0"/>
        <w:spacing w:before="240" w:after="0"/>
        <w:jc w:val="left"/>
        <w:rPr>
          <w:rFonts w:ascii="Times New Roman" w:hAnsi="Times New Roman"/>
          <w:sz w:val="20"/>
        </w:rPr>
      </w:pPr>
      <w:r>
        <w:rPr>
          <w:rFonts w:ascii="Times New Roman" w:hAnsi="Times New Roman"/>
          <w:sz w:val="20"/>
        </w:rPr>
        <w:t xml:space="preserve">Purchaser has filed with the SEC the Schedule TO pursuant to Rule 14d-3 under the Exchange Act, together with exhibits furnishing certain additional information with respect to the Offer, and may file any amendments to the Schedule TO (including the exhibits to the Schedule TO, which include this Offer to Purchase and the related Letter of Transmittal). In addition, Adverum has filed or will file, pursuant to Rule 14d-9 under the Exchange Act, the Schedule 14D-9 with the SEC, together with exhibits, setting forth the recommendation of the Adverum Board with respect to the Offer and the reasons for such recommendation and furnishing certain additional related information. Copies of such documents, and any amendments thereto, are available free of charge at www.sec.gov. </w:t>
      </w:r>
    </w:p>
    <w:p>
      <w:pPr>
        <w:pStyle w:val="TextBody"/>
        <w:bidi w:val="0"/>
        <w:spacing w:before="240" w:after="0"/>
        <w:jc w:val="left"/>
        <w:rPr>
          <w:rFonts w:ascii="Times New Roman" w:hAnsi="Times New Roman"/>
          <w:sz w:val="20"/>
        </w:rPr>
      </w:pPr>
      <w:r>
        <w:rPr>
          <w:rFonts w:ascii="Times New Roman" w:hAnsi="Times New Roman"/>
          <w:sz w:val="20"/>
        </w:rPr>
        <w:t xml:space="preserve">No person has been authorized to give any information on behalf of Lilly or Purchaser not contained in the Schedule TO (including this Offer to Purchase or the related Letter of Transmittal). We have not authorized anyone to provide you with different or additional information and take no responsibility for, and can provide no assurance as to the reliability of, any information that others may give. No broker, dealer, commercial bank, trust company or other person will be deemed to be the agent of Lilly, Purchaser, the Depositary or the Information Agent for the purposes of the Offer. </w:t>
      </w:r>
    </w:p>
    <w:p>
      <w:pPr>
        <w:pStyle w:val="TextBody"/>
        <w:bidi w:val="0"/>
        <w:spacing w:before="360" w:after="0"/>
        <w:jc w:val="left"/>
        <w:rPr>
          <w:rFonts w:ascii="Times New Roman" w:hAnsi="Times New Roman"/>
          <w:b/>
          <w:sz w:val="20"/>
        </w:rPr>
      </w:pPr>
      <w:r>
        <w:rPr>
          <w:rFonts w:ascii="Times New Roman" w:hAnsi="Times New Roman"/>
          <w:b/>
          <w:sz w:val="20"/>
        </w:rPr>
        <w:t xml:space="preserve">Flying Tigers Acquisition Corporation </w:t>
      </w:r>
    </w:p>
    <w:p>
      <w:pPr>
        <w:pStyle w:val="TextBody"/>
        <w:bidi w:val="0"/>
        <w:spacing w:before="120" w:after="0"/>
        <w:jc w:val="left"/>
        <w:rPr>
          <w:rFonts w:ascii="Times New Roman" w:hAnsi="Times New Roman"/>
          <w:sz w:val="20"/>
        </w:rPr>
      </w:pPr>
      <w:r>
        <w:rPr>
          <w:rFonts w:ascii="Times New Roman" w:hAnsi="Times New Roman"/>
          <w:sz w:val="20"/>
        </w:rPr>
        <w:t xml:space="preserve">November 7,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6" w:name="toc67752_23"/>
      <w:bookmarkEnd w:id="26"/>
      <w:r>
        <w:rPr>
          <w:rFonts w:ascii="Times New Roman" w:hAnsi="Times New Roman"/>
          <w:b/>
          <w:sz w:val="20"/>
        </w:rPr>
        <w:t xml:space="preserve">SCHEDULE I </w:t>
      </w:r>
    </w:p>
    <w:p>
      <w:pPr>
        <w:pStyle w:val="TextBody"/>
        <w:bidi w:val="0"/>
        <w:spacing w:before="120" w:after="0"/>
        <w:jc w:val="center"/>
        <w:rPr>
          <w:rFonts w:ascii="Times New Roman" w:hAnsi="Times New Roman"/>
          <w:b/>
          <w:sz w:val="20"/>
        </w:rPr>
      </w:pPr>
      <w:r>
        <w:rPr>
          <w:rFonts w:ascii="Times New Roman" w:hAnsi="Times New Roman"/>
          <w:b/>
          <w:sz w:val="20"/>
        </w:rPr>
        <w:t xml:space="preserve">DIRECTORS AND EXECUTIVE OFFICERS OF PURCHASER AND LILLY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PURCHASER</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name, business address, present principal occupation or employment and material occupations, positions, offices or employment for the past five years of the directors and executive officers of Purchaser are set forth below. The business address of Purchaser is Lilly Corporate Center, Indianapolis, IN 46285. The telephone number at such office is (317) 276-2000. Except as otherwise indicated, all directors and executive officers listed below are citizens of the United States. Directors are identified by an asterisk.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44"/>
        <w:gridCol w:w="203"/>
        <w:gridCol w:w="7758"/>
      </w:tblGrid>
      <w:tr>
        <w:trPr/>
        <w:tc>
          <w:tcPr>
            <w:tcW w:w="224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7758" w:type="dxa"/>
            <w:tcBorders/>
            <w:vAlign w:val="center"/>
          </w:tcPr>
          <w:p>
            <w:pPr>
              <w:pStyle w:val="TableContents"/>
              <w:bidi w:val="0"/>
              <w:spacing w:before="0" w:after="283"/>
              <w:jc w:val="left"/>
              <w:rPr>
                <w:sz w:val="4"/>
                <w:szCs w:val="4"/>
              </w:rPr>
            </w:pPr>
            <w:r>
              <w:rPr>
                <w:sz w:val="4"/>
                <w:szCs w:val="4"/>
              </w:rPr>
            </w:r>
          </w:p>
        </w:tc>
      </w:tr>
      <w:tr>
        <w:trPr/>
        <w:tc>
          <w:tcPr>
            <w:tcW w:w="224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Position</w:t>
            </w:r>
          </w:p>
        </w:tc>
        <w:tc>
          <w:tcPr>
            <w:tcW w:w="203" w:type="dxa"/>
            <w:tcBorders/>
            <w:vAlign w:val="bottom"/>
          </w:tcPr>
          <w:p>
            <w:pPr>
              <w:pStyle w:val="TableContents"/>
              <w:bidi w:val="0"/>
              <w:spacing w:before="0" w:after="283"/>
              <w:jc w:val="left"/>
              <w:rPr/>
            </w:pPr>
            <w:r>
              <w:rPr/>
              <w:t>  </w:t>
            </w:r>
          </w:p>
        </w:tc>
        <w:tc>
          <w:tcPr>
            <w:tcW w:w="775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Present Principal Occupation or Employment;</w:t>
              <w:br/>
              <w:t>Material Positions Held During the Last Five Years;</w:t>
              <w:br/>
              <w:t>Citizenship (if not United States)</w:t>
            </w:r>
          </w:p>
        </w:tc>
      </w:tr>
      <w:tr>
        <w:trPr>
          <w:trHeight w:val="120" w:hRule="atLeast"/>
        </w:trPr>
        <w:tc>
          <w:tcPr>
            <w:tcW w:w="2244" w:type="dxa"/>
            <w:tcBorders/>
            <w:vAlign w:val="center"/>
          </w:tcPr>
          <w:p>
            <w:pPr>
              <w:pStyle w:val="TableContents"/>
              <w:bidi w:val="0"/>
              <w:spacing w:before="0" w:after="283"/>
              <w:jc w:val="left"/>
              <w:rPr>
                <w:sz w:val="4"/>
                <w:szCs w:val="4"/>
              </w:rPr>
            </w:pPr>
            <w:r>
              <w:rPr>
                <w:sz w:val="4"/>
                <w:szCs w:val="4"/>
              </w:rPr>
            </w:r>
          </w:p>
        </w:tc>
        <w:tc>
          <w:tcPr>
            <w:tcW w:w="7961" w:type="dxa"/>
            <w:gridSpan w:val="2"/>
            <w:tcBorders/>
            <w:vAlign w:val="center"/>
          </w:tcPr>
          <w:p>
            <w:pPr>
              <w:pStyle w:val="TableContents"/>
              <w:bidi w:val="0"/>
              <w:spacing w:before="0" w:after="283"/>
              <w:jc w:val="left"/>
              <w:rPr>
                <w:sz w:val="4"/>
                <w:szCs w:val="4"/>
              </w:rPr>
            </w:pPr>
            <w:r>
              <w:rPr>
                <w:sz w:val="4"/>
                <w:szCs w:val="4"/>
              </w:rPr>
            </w:r>
          </w:p>
        </w:tc>
      </w:tr>
      <w:tr>
        <w:trPr/>
        <w:tc>
          <w:tcPr>
            <w:tcW w:w="2244" w:type="dxa"/>
            <w:tcBorders/>
          </w:tcPr>
          <w:p>
            <w:pPr>
              <w:pStyle w:val="TableContents"/>
              <w:bidi w:val="0"/>
              <w:spacing w:before="0" w:after="283"/>
              <w:jc w:val="left"/>
              <w:rPr/>
            </w:pPr>
            <w:r>
              <w:rPr/>
              <w:t>Christopher Anderson*</w:t>
            </w:r>
          </w:p>
        </w:tc>
        <w:tc>
          <w:tcPr>
            <w:tcW w:w="203" w:type="dxa"/>
            <w:tcBorders/>
            <w:vAlign w:val="bottom"/>
          </w:tcPr>
          <w:p>
            <w:pPr>
              <w:pStyle w:val="TableContents"/>
              <w:bidi w:val="0"/>
              <w:spacing w:before="0" w:after="283"/>
              <w:jc w:val="left"/>
              <w:rPr/>
            </w:pPr>
            <w:r>
              <w:rPr/>
              <w:t>  </w:t>
            </w:r>
          </w:p>
        </w:tc>
        <w:tc>
          <w:tcPr>
            <w:tcW w:w="7758" w:type="dxa"/>
            <w:tcBorders/>
          </w:tcPr>
          <w:p>
            <w:pPr>
              <w:pStyle w:val="TableContents"/>
              <w:bidi w:val="0"/>
              <w:spacing w:before="0" w:after="283"/>
              <w:jc w:val="left"/>
              <w:rPr/>
            </w:pPr>
            <w:r>
              <w:rPr/>
              <w:t>Mr. Anderson has served as director and secretary of Purchaser since 2025. Mr. Anderson has served as vice president, leader of corporate securities and assistant corporate secretary of Lilly since 2025. Previously, Mr. Anderson served as associate vice president, leader of corporate securities and assistant corporate secretary of Lilly from 2022 to 2025. Prior to joining Lilly, Mr. Anderson served as general counsel and chief regulatory officer at Fluresh LLC from 2019 to 2022.</w:t>
            </w:r>
          </w:p>
        </w:tc>
      </w:tr>
      <w:tr>
        <w:trPr>
          <w:trHeight w:val="120" w:hRule="atLeast"/>
        </w:trPr>
        <w:tc>
          <w:tcPr>
            <w:tcW w:w="2244" w:type="dxa"/>
            <w:tcBorders/>
            <w:vAlign w:val="center"/>
          </w:tcPr>
          <w:p>
            <w:pPr>
              <w:pStyle w:val="TableContents"/>
              <w:bidi w:val="0"/>
              <w:spacing w:before="0" w:after="283"/>
              <w:jc w:val="left"/>
              <w:rPr>
                <w:sz w:val="4"/>
                <w:szCs w:val="4"/>
              </w:rPr>
            </w:pPr>
            <w:r>
              <w:rPr>
                <w:sz w:val="4"/>
                <w:szCs w:val="4"/>
              </w:rPr>
            </w:r>
          </w:p>
        </w:tc>
        <w:tc>
          <w:tcPr>
            <w:tcW w:w="7961" w:type="dxa"/>
            <w:gridSpan w:val="2"/>
            <w:tcBorders/>
            <w:vAlign w:val="center"/>
          </w:tcPr>
          <w:p>
            <w:pPr>
              <w:pStyle w:val="TableContents"/>
              <w:bidi w:val="0"/>
              <w:spacing w:before="0" w:after="283"/>
              <w:jc w:val="left"/>
              <w:rPr>
                <w:sz w:val="4"/>
                <w:szCs w:val="4"/>
              </w:rPr>
            </w:pPr>
            <w:r>
              <w:rPr>
                <w:sz w:val="4"/>
                <w:szCs w:val="4"/>
              </w:rPr>
            </w:r>
          </w:p>
        </w:tc>
      </w:tr>
      <w:tr>
        <w:trPr/>
        <w:tc>
          <w:tcPr>
            <w:tcW w:w="2244" w:type="dxa"/>
            <w:tcBorders/>
          </w:tcPr>
          <w:p>
            <w:pPr>
              <w:pStyle w:val="TableContents"/>
              <w:bidi w:val="0"/>
              <w:spacing w:before="0" w:after="283"/>
              <w:jc w:val="left"/>
              <w:rPr/>
            </w:pPr>
            <w:r>
              <w:rPr/>
              <w:t>Jonathan R. Haug*</w:t>
            </w:r>
          </w:p>
        </w:tc>
        <w:tc>
          <w:tcPr>
            <w:tcW w:w="203" w:type="dxa"/>
            <w:tcBorders/>
            <w:vAlign w:val="bottom"/>
          </w:tcPr>
          <w:p>
            <w:pPr>
              <w:pStyle w:val="TableContents"/>
              <w:bidi w:val="0"/>
              <w:spacing w:before="0" w:after="283"/>
              <w:jc w:val="left"/>
              <w:rPr/>
            </w:pPr>
            <w:r>
              <w:rPr/>
              <w:t>  </w:t>
            </w:r>
          </w:p>
        </w:tc>
        <w:tc>
          <w:tcPr>
            <w:tcW w:w="7758" w:type="dxa"/>
            <w:tcBorders/>
          </w:tcPr>
          <w:p>
            <w:pPr>
              <w:pStyle w:val="TableContents"/>
              <w:bidi w:val="0"/>
              <w:spacing w:before="0" w:after="283"/>
              <w:jc w:val="left"/>
              <w:rPr/>
            </w:pPr>
            <w:r>
              <w:rPr/>
              <w:t>Mr. Haug has served as director and president of Purchaser since 2025. Mr. Haug has served as treasurer and corporate financial investing banking of Lilly since 2024. Since joining Lilly in 2007, Mr. Haug has held various leadership roles at Lilly, including vice president and chief financial officer, global manufacturing and quality from 2019 to 2024, vice president and chief financial officer, manufacturing and quality and biomedicines from 2018 to 2019, chief financial officer, UK and Northern Europe from 2015 to 2019, assistant treasurer from 2013 to 2015, director and tax counsel from 2009 to 2013, and financial consultant from 2007 to 2009.</w:t>
            </w:r>
          </w:p>
        </w:tc>
      </w:tr>
      <w:tr>
        <w:trPr>
          <w:trHeight w:val="120" w:hRule="atLeast"/>
        </w:trPr>
        <w:tc>
          <w:tcPr>
            <w:tcW w:w="2244" w:type="dxa"/>
            <w:tcBorders/>
            <w:vAlign w:val="center"/>
          </w:tcPr>
          <w:p>
            <w:pPr>
              <w:pStyle w:val="TableContents"/>
              <w:bidi w:val="0"/>
              <w:spacing w:before="0" w:after="283"/>
              <w:jc w:val="left"/>
              <w:rPr>
                <w:sz w:val="4"/>
                <w:szCs w:val="4"/>
              </w:rPr>
            </w:pPr>
            <w:r>
              <w:rPr>
                <w:sz w:val="4"/>
                <w:szCs w:val="4"/>
              </w:rPr>
            </w:r>
          </w:p>
        </w:tc>
        <w:tc>
          <w:tcPr>
            <w:tcW w:w="7961" w:type="dxa"/>
            <w:gridSpan w:val="2"/>
            <w:tcBorders/>
            <w:vAlign w:val="center"/>
          </w:tcPr>
          <w:p>
            <w:pPr>
              <w:pStyle w:val="TableContents"/>
              <w:bidi w:val="0"/>
              <w:spacing w:before="0" w:after="283"/>
              <w:jc w:val="left"/>
              <w:rPr>
                <w:sz w:val="4"/>
                <w:szCs w:val="4"/>
              </w:rPr>
            </w:pPr>
            <w:r>
              <w:rPr>
                <w:sz w:val="4"/>
                <w:szCs w:val="4"/>
              </w:rPr>
            </w:r>
          </w:p>
        </w:tc>
      </w:tr>
      <w:tr>
        <w:trPr/>
        <w:tc>
          <w:tcPr>
            <w:tcW w:w="2244" w:type="dxa"/>
            <w:tcBorders/>
          </w:tcPr>
          <w:p>
            <w:pPr>
              <w:pStyle w:val="TableContents"/>
              <w:bidi w:val="0"/>
              <w:spacing w:before="0" w:after="283"/>
              <w:jc w:val="left"/>
              <w:rPr/>
            </w:pPr>
            <w:r>
              <w:rPr/>
              <w:t>Sherry D. Davis*</w:t>
            </w:r>
          </w:p>
        </w:tc>
        <w:tc>
          <w:tcPr>
            <w:tcW w:w="203" w:type="dxa"/>
            <w:tcBorders/>
            <w:vAlign w:val="bottom"/>
          </w:tcPr>
          <w:p>
            <w:pPr>
              <w:pStyle w:val="TableContents"/>
              <w:bidi w:val="0"/>
              <w:spacing w:before="0" w:after="283"/>
              <w:jc w:val="left"/>
              <w:rPr/>
            </w:pPr>
            <w:r>
              <w:rPr/>
              <w:t>  </w:t>
            </w:r>
          </w:p>
        </w:tc>
        <w:tc>
          <w:tcPr>
            <w:tcW w:w="7758" w:type="dxa"/>
            <w:tcBorders/>
          </w:tcPr>
          <w:p>
            <w:pPr>
              <w:pStyle w:val="TableContents"/>
              <w:bidi w:val="0"/>
              <w:spacing w:before="0" w:after="283"/>
              <w:jc w:val="left"/>
              <w:rPr/>
            </w:pPr>
            <w:r>
              <w:rPr/>
              <w:t>Ms. Davis has served as a director of Purchaser since 2025. Ms. Davis has served as senior vice president, chief procurement officer of Lilly since 2024. Since joining Lilly in 2006, Ms. Davis has held various leadership roles at Lilly, including vice president, chief financial officer, Lilly USA and Immunology from 2021 to 2024, chief financial officer, Lilly USA from 2018 to 2024, vice president finance and chief financial officer of Lilly USA from 2020 to 2021, chief financial officer and treasurer of Lilly Del Caribe from 2017 to 2018, chief financial officer, research of Lilly Research Laboratories from 2014 to 2016, finance director, Access Expansion from 2013 to 2014, director, finance – corporate audit services from 2009 to 2013, financial consultant, emerging markets from 2008 to 2009, and financial consultant, discovery – Lilly Research Laboratories from 2006 to 2008.</w:t>
            </w:r>
          </w:p>
        </w:tc>
      </w:tr>
      <w:tr>
        <w:trPr>
          <w:trHeight w:val="120" w:hRule="atLeast"/>
        </w:trPr>
        <w:tc>
          <w:tcPr>
            <w:tcW w:w="2244" w:type="dxa"/>
            <w:tcBorders/>
            <w:vAlign w:val="center"/>
          </w:tcPr>
          <w:p>
            <w:pPr>
              <w:pStyle w:val="TableContents"/>
              <w:bidi w:val="0"/>
              <w:spacing w:before="0" w:after="283"/>
              <w:jc w:val="left"/>
              <w:rPr>
                <w:sz w:val="4"/>
                <w:szCs w:val="4"/>
              </w:rPr>
            </w:pPr>
            <w:r>
              <w:rPr>
                <w:sz w:val="4"/>
                <w:szCs w:val="4"/>
              </w:rPr>
            </w:r>
          </w:p>
        </w:tc>
        <w:tc>
          <w:tcPr>
            <w:tcW w:w="7961" w:type="dxa"/>
            <w:gridSpan w:val="2"/>
            <w:tcBorders/>
            <w:vAlign w:val="center"/>
          </w:tcPr>
          <w:p>
            <w:pPr>
              <w:pStyle w:val="TableContents"/>
              <w:bidi w:val="0"/>
              <w:spacing w:before="0" w:after="283"/>
              <w:jc w:val="left"/>
              <w:rPr>
                <w:sz w:val="4"/>
                <w:szCs w:val="4"/>
              </w:rPr>
            </w:pPr>
            <w:r>
              <w:rPr>
                <w:sz w:val="4"/>
                <w:szCs w:val="4"/>
              </w:rPr>
            </w:r>
          </w:p>
        </w:tc>
      </w:tr>
      <w:tr>
        <w:trPr/>
        <w:tc>
          <w:tcPr>
            <w:tcW w:w="2244" w:type="dxa"/>
            <w:tcBorders/>
          </w:tcPr>
          <w:p>
            <w:pPr>
              <w:pStyle w:val="TableContents"/>
              <w:bidi w:val="0"/>
              <w:spacing w:before="0" w:after="283"/>
              <w:jc w:val="left"/>
              <w:rPr/>
            </w:pPr>
            <w:r>
              <w:rPr/>
              <w:t>Steffanie Lim-Ho</w:t>
            </w:r>
          </w:p>
        </w:tc>
        <w:tc>
          <w:tcPr>
            <w:tcW w:w="203" w:type="dxa"/>
            <w:tcBorders/>
            <w:vAlign w:val="bottom"/>
          </w:tcPr>
          <w:p>
            <w:pPr>
              <w:pStyle w:val="TableContents"/>
              <w:bidi w:val="0"/>
              <w:spacing w:before="0" w:after="283"/>
              <w:jc w:val="left"/>
              <w:rPr/>
            </w:pPr>
            <w:r>
              <w:rPr/>
              <w:t>  </w:t>
            </w:r>
          </w:p>
        </w:tc>
        <w:tc>
          <w:tcPr>
            <w:tcW w:w="7758" w:type="dxa"/>
            <w:tcBorders/>
          </w:tcPr>
          <w:p>
            <w:pPr>
              <w:pStyle w:val="TableContents"/>
              <w:bidi w:val="0"/>
              <w:spacing w:before="0" w:after="283"/>
              <w:jc w:val="left"/>
              <w:rPr/>
            </w:pPr>
            <w:r>
              <w:rPr/>
              <w:t>Ms. Lim-Ho has served as treasurer of Purchaser since 2025. Ms. Lim-Ho has served as assistant treasurer of Lilly since 2024, and served as senior vice president, global ethics and compliance of Lilly from 2021 to 2024. Previously, Ms. Lim-Ho served as chief financial officer, Lilly Germany Hub from 2016 to 2020. Prior to that, Ms. Lim-Ho served in various leadership roles at Eli Lilly China, including vice president, ethics and compliance from 2013 to 2016, director, financial planning, pricing and internal controls from 2011 to 2013, and associate director, internal control from 2009 to 2011.</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244"/>
        <w:gridCol w:w="203"/>
        <w:gridCol w:w="7758"/>
      </w:tblGrid>
      <w:tr>
        <w:trPr/>
        <w:tc>
          <w:tcPr>
            <w:tcW w:w="224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7758" w:type="dxa"/>
            <w:tcBorders/>
            <w:vAlign w:val="center"/>
          </w:tcPr>
          <w:p>
            <w:pPr>
              <w:pStyle w:val="TableContents"/>
              <w:bidi w:val="0"/>
              <w:spacing w:before="0" w:after="283"/>
              <w:jc w:val="left"/>
              <w:rPr>
                <w:sz w:val="4"/>
                <w:szCs w:val="4"/>
              </w:rPr>
            </w:pPr>
            <w:r>
              <w:rPr>
                <w:sz w:val="4"/>
                <w:szCs w:val="4"/>
              </w:rPr>
            </w:r>
          </w:p>
        </w:tc>
      </w:tr>
      <w:tr>
        <w:trPr/>
        <w:tc>
          <w:tcPr>
            <w:tcW w:w="224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Position</w:t>
            </w:r>
          </w:p>
        </w:tc>
        <w:tc>
          <w:tcPr>
            <w:tcW w:w="203" w:type="dxa"/>
            <w:tcBorders/>
            <w:vAlign w:val="bottom"/>
          </w:tcPr>
          <w:p>
            <w:pPr>
              <w:pStyle w:val="TableContents"/>
              <w:bidi w:val="0"/>
              <w:spacing w:before="0" w:after="283"/>
              <w:jc w:val="left"/>
              <w:rPr/>
            </w:pPr>
            <w:r>
              <w:rPr/>
              <w:t>  </w:t>
            </w:r>
          </w:p>
        </w:tc>
        <w:tc>
          <w:tcPr>
            <w:tcW w:w="775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Present Principal Occupation or Employment;</w:t>
              <w:br/>
              <w:t>Material Positions Held During the Last Five Years;</w:t>
              <w:br/>
              <w:t>Citizenship (if not United States)</w:t>
            </w:r>
          </w:p>
        </w:tc>
      </w:tr>
      <w:tr>
        <w:trPr>
          <w:trHeight w:val="120" w:hRule="atLeast"/>
        </w:trPr>
        <w:tc>
          <w:tcPr>
            <w:tcW w:w="2244" w:type="dxa"/>
            <w:tcBorders/>
            <w:vAlign w:val="center"/>
          </w:tcPr>
          <w:p>
            <w:pPr>
              <w:pStyle w:val="TableContents"/>
              <w:bidi w:val="0"/>
              <w:spacing w:before="0" w:after="283"/>
              <w:jc w:val="left"/>
              <w:rPr>
                <w:sz w:val="4"/>
                <w:szCs w:val="4"/>
              </w:rPr>
            </w:pPr>
            <w:r>
              <w:rPr>
                <w:sz w:val="4"/>
                <w:szCs w:val="4"/>
              </w:rPr>
            </w:r>
          </w:p>
        </w:tc>
        <w:tc>
          <w:tcPr>
            <w:tcW w:w="7961" w:type="dxa"/>
            <w:gridSpan w:val="2"/>
            <w:tcBorders/>
            <w:vAlign w:val="center"/>
          </w:tcPr>
          <w:p>
            <w:pPr>
              <w:pStyle w:val="TableContents"/>
              <w:bidi w:val="0"/>
              <w:spacing w:before="0" w:after="283"/>
              <w:jc w:val="left"/>
              <w:rPr>
                <w:sz w:val="4"/>
                <w:szCs w:val="4"/>
              </w:rPr>
            </w:pPr>
            <w:r>
              <w:rPr>
                <w:sz w:val="4"/>
                <w:szCs w:val="4"/>
              </w:rPr>
            </w:r>
          </w:p>
        </w:tc>
      </w:tr>
      <w:tr>
        <w:trPr/>
        <w:tc>
          <w:tcPr>
            <w:tcW w:w="2244" w:type="dxa"/>
            <w:tcBorders/>
          </w:tcPr>
          <w:p>
            <w:pPr>
              <w:pStyle w:val="TableContents"/>
              <w:bidi w:val="0"/>
              <w:spacing w:before="0" w:after="283"/>
              <w:jc w:val="left"/>
              <w:rPr/>
            </w:pPr>
            <w:r>
              <w:rPr/>
              <w:t>Katie Lodato</w:t>
            </w:r>
          </w:p>
        </w:tc>
        <w:tc>
          <w:tcPr>
            <w:tcW w:w="203" w:type="dxa"/>
            <w:tcBorders/>
            <w:vAlign w:val="bottom"/>
          </w:tcPr>
          <w:p>
            <w:pPr>
              <w:pStyle w:val="TableContents"/>
              <w:bidi w:val="0"/>
              <w:spacing w:before="0" w:after="283"/>
              <w:jc w:val="left"/>
              <w:rPr/>
            </w:pPr>
            <w:r>
              <w:rPr/>
              <w:t>  </w:t>
            </w:r>
          </w:p>
        </w:tc>
        <w:tc>
          <w:tcPr>
            <w:tcW w:w="7758" w:type="dxa"/>
            <w:tcBorders/>
          </w:tcPr>
          <w:p>
            <w:pPr>
              <w:pStyle w:val="TableContents"/>
              <w:bidi w:val="0"/>
              <w:spacing w:before="0" w:after="283"/>
              <w:jc w:val="left"/>
              <w:rPr/>
            </w:pPr>
            <w:r>
              <w:rPr/>
              <w:t>Ms. Lodato has served as assistant treasurer of Purchaser since 2025. Ms. Lodato has served as senior vice president of global tax for Lilly since 2018. Prior to this role, Ms. Lodato served in a variety of tax-related roles at Lilly, including senior director and tax counsel roles.</w:t>
            </w:r>
          </w:p>
        </w:tc>
      </w:tr>
      <w:tr>
        <w:trPr>
          <w:trHeight w:val="120" w:hRule="atLeast"/>
        </w:trPr>
        <w:tc>
          <w:tcPr>
            <w:tcW w:w="2244" w:type="dxa"/>
            <w:tcBorders/>
            <w:vAlign w:val="center"/>
          </w:tcPr>
          <w:p>
            <w:pPr>
              <w:pStyle w:val="TableContents"/>
              <w:bidi w:val="0"/>
              <w:spacing w:before="0" w:after="283"/>
              <w:jc w:val="left"/>
              <w:rPr>
                <w:sz w:val="4"/>
                <w:szCs w:val="4"/>
              </w:rPr>
            </w:pPr>
            <w:r>
              <w:rPr>
                <w:sz w:val="4"/>
                <w:szCs w:val="4"/>
              </w:rPr>
            </w:r>
          </w:p>
        </w:tc>
        <w:tc>
          <w:tcPr>
            <w:tcW w:w="7961" w:type="dxa"/>
            <w:gridSpan w:val="2"/>
            <w:tcBorders/>
            <w:vAlign w:val="center"/>
          </w:tcPr>
          <w:p>
            <w:pPr>
              <w:pStyle w:val="TableContents"/>
              <w:bidi w:val="0"/>
              <w:spacing w:before="0" w:after="283"/>
              <w:jc w:val="left"/>
              <w:rPr>
                <w:sz w:val="4"/>
                <w:szCs w:val="4"/>
              </w:rPr>
            </w:pPr>
            <w:r>
              <w:rPr>
                <w:sz w:val="4"/>
                <w:szCs w:val="4"/>
              </w:rPr>
            </w:r>
          </w:p>
        </w:tc>
      </w:tr>
      <w:tr>
        <w:trPr/>
        <w:tc>
          <w:tcPr>
            <w:tcW w:w="2244" w:type="dxa"/>
            <w:tcBorders/>
          </w:tcPr>
          <w:p>
            <w:pPr>
              <w:pStyle w:val="TableContents"/>
              <w:bidi w:val="0"/>
              <w:spacing w:before="0" w:after="283"/>
              <w:jc w:val="left"/>
              <w:rPr/>
            </w:pPr>
            <w:r>
              <w:rPr/>
              <w:t>Jonathan Groff</w:t>
            </w:r>
          </w:p>
        </w:tc>
        <w:tc>
          <w:tcPr>
            <w:tcW w:w="203" w:type="dxa"/>
            <w:tcBorders/>
            <w:vAlign w:val="bottom"/>
          </w:tcPr>
          <w:p>
            <w:pPr>
              <w:pStyle w:val="TableContents"/>
              <w:bidi w:val="0"/>
              <w:spacing w:before="0" w:after="283"/>
              <w:jc w:val="left"/>
              <w:rPr/>
            </w:pPr>
            <w:r>
              <w:rPr/>
              <w:t>  </w:t>
            </w:r>
          </w:p>
        </w:tc>
        <w:tc>
          <w:tcPr>
            <w:tcW w:w="7758" w:type="dxa"/>
            <w:tcBorders/>
          </w:tcPr>
          <w:p>
            <w:pPr>
              <w:pStyle w:val="TableContents"/>
              <w:bidi w:val="0"/>
              <w:spacing w:before="0" w:after="283"/>
              <w:jc w:val="left"/>
              <w:rPr/>
            </w:pPr>
            <w:r>
              <w:rPr/>
              <w:t>Mr. Groff has served as assistant secretary of Purchaser since 2025. Mr. Groff has served as associate vice president and assistant general counsel, corporate securities and assistant secretary of Lilly since 2024. Prior to this role, Mr. Groff was executive director and counsel, corporate securities and assistant secretary of Lilly from 2023 to 2024, and prior to that, senior director and counsel, corporate securities and assistant secretary of Lilly from 2021 to 2023. Prior to joining Lilly, Mr. Groff was an associate and then of counsel at Ice Miller LLP from 2013 to 2021.</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2.</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LILLY</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name, business address, present principal occupation or employment and material occupations, positions, offices or employment for the past five years of each of the directors and executive officers of Lilly are set forth below. The business address of each such director and executive officer is Lilly Corporate Center, Indianapolis, IN 46285. The telephone number at such office is (317) 276-2000. Except as otherwise indicated, all directors and executive officers listed below are citizens of the United States. Directors are identified by an asterisk.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44"/>
        <w:gridCol w:w="204"/>
        <w:gridCol w:w="7757"/>
      </w:tblGrid>
      <w:tr>
        <w:trPr/>
        <w:tc>
          <w:tcPr>
            <w:tcW w:w="224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7757" w:type="dxa"/>
            <w:tcBorders/>
            <w:vAlign w:val="center"/>
          </w:tcPr>
          <w:p>
            <w:pPr>
              <w:pStyle w:val="TableContents"/>
              <w:bidi w:val="0"/>
              <w:spacing w:before="0" w:after="283"/>
              <w:jc w:val="left"/>
              <w:rPr>
                <w:sz w:val="4"/>
                <w:szCs w:val="4"/>
              </w:rPr>
            </w:pPr>
            <w:r>
              <w:rPr>
                <w:sz w:val="4"/>
                <w:szCs w:val="4"/>
              </w:rPr>
            </w:r>
          </w:p>
        </w:tc>
      </w:tr>
      <w:tr>
        <w:trPr/>
        <w:tc>
          <w:tcPr>
            <w:tcW w:w="224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Position</w:t>
            </w:r>
          </w:p>
        </w:tc>
        <w:tc>
          <w:tcPr>
            <w:tcW w:w="204" w:type="dxa"/>
            <w:tcBorders/>
            <w:vAlign w:val="bottom"/>
          </w:tcPr>
          <w:p>
            <w:pPr>
              <w:pStyle w:val="TableContents"/>
              <w:bidi w:val="0"/>
              <w:spacing w:before="0" w:after="283"/>
              <w:jc w:val="left"/>
              <w:rPr/>
            </w:pPr>
            <w:r>
              <w:rPr/>
              <w:t>  </w:t>
            </w:r>
          </w:p>
        </w:tc>
        <w:tc>
          <w:tcPr>
            <w:tcW w:w="775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Present Principal Occupation or Employment;</w:t>
              <w:br/>
              <w:t>Material Positions Held During the Last Five Years;</w:t>
              <w:br/>
              <w:t>Citizenship (if not United States)</w:t>
            </w:r>
          </w:p>
        </w:tc>
      </w:tr>
      <w:tr>
        <w:trPr>
          <w:trHeight w:val="120" w:hRule="atLeast"/>
        </w:trPr>
        <w:tc>
          <w:tcPr>
            <w:tcW w:w="2244" w:type="dxa"/>
            <w:tcBorders/>
            <w:vAlign w:val="center"/>
          </w:tcPr>
          <w:p>
            <w:pPr>
              <w:pStyle w:val="TableContents"/>
              <w:bidi w:val="0"/>
              <w:spacing w:before="0" w:after="283"/>
              <w:jc w:val="left"/>
              <w:rPr>
                <w:sz w:val="4"/>
                <w:szCs w:val="4"/>
              </w:rPr>
            </w:pPr>
            <w:r>
              <w:rPr>
                <w:sz w:val="4"/>
                <w:szCs w:val="4"/>
              </w:rPr>
            </w:r>
          </w:p>
        </w:tc>
        <w:tc>
          <w:tcPr>
            <w:tcW w:w="7961" w:type="dxa"/>
            <w:gridSpan w:val="2"/>
            <w:tcBorders/>
            <w:vAlign w:val="center"/>
          </w:tcPr>
          <w:p>
            <w:pPr>
              <w:pStyle w:val="TableContents"/>
              <w:bidi w:val="0"/>
              <w:spacing w:before="0" w:after="283"/>
              <w:jc w:val="left"/>
              <w:rPr>
                <w:sz w:val="4"/>
                <w:szCs w:val="4"/>
              </w:rPr>
            </w:pPr>
            <w:r>
              <w:rPr>
                <w:sz w:val="4"/>
                <w:szCs w:val="4"/>
              </w:rPr>
            </w:r>
          </w:p>
        </w:tc>
      </w:tr>
      <w:tr>
        <w:trPr/>
        <w:tc>
          <w:tcPr>
            <w:tcW w:w="2244" w:type="dxa"/>
            <w:tcBorders/>
          </w:tcPr>
          <w:p>
            <w:pPr>
              <w:pStyle w:val="TableContents"/>
              <w:bidi w:val="0"/>
              <w:spacing w:before="0" w:after="283"/>
              <w:jc w:val="left"/>
              <w:rPr/>
            </w:pPr>
            <w:r>
              <w:rPr/>
              <w:t>Ralph Alvarez*</w:t>
            </w:r>
          </w:p>
        </w:tc>
        <w:tc>
          <w:tcPr>
            <w:tcW w:w="204" w:type="dxa"/>
            <w:tcBorders/>
            <w:vAlign w:val="bottom"/>
          </w:tcPr>
          <w:p>
            <w:pPr>
              <w:pStyle w:val="TableContents"/>
              <w:bidi w:val="0"/>
              <w:spacing w:before="0" w:after="283"/>
              <w:jc w:val="left"/>
              <w:rPr/>
            </w:pPr>
            <w:r>
              <w:rPr/>
              <w:t>  </w:t>
            </w:r>
          </w:p>
        </w:tc>
        <w:tc>
          <w:tcPr>
            <w:tcW w:w="7757" w:type="dxa"/>
            <w:tcBorders/>
          </w:tcPr>
          <w:p>
            <w:pPr>
              <w:pStyle w:val="TableContents"/>
              <w:bidi w:val="0"/>
              <w:spacing w:before="0" w:after="283"/>
              <w:jc w:val="left"/>
              <w:rPr/>
            </w:pPr>
            <w:r>
              <w:rPr/>
              <w:t>Mr. Alvarez has served as a director of Lilly since 2009. Mr. Alvarez has been an operating partner at Advent International Corporation since 2017. Mr. Alvarez serves on the President’s Council for the University of Miami and is a member of the board of directors of Lowe’s Companies, Inc., Traeger, Inc. and First Watch Restaurant Group, Inc. Mr. Alvarez has previously served on the board of Dunkin’ Brands Group, Inc.</w:t>
            </w:r>
          </w:p>
        </w:tc>
      </w:tr>
      <w:tr>
        <w:trPr>
          <w:trHeight w:val="120" w:hRule="atLeast"/>
        </w:trPr>
        <w:tc>
          <w:tcPr>
            <w:tcW w:w="2244" w:type="dxa"/>
            <w:tcBorders/>
            <w:vAlign w:val="center"/>
          </w:tcPr>
          <w:p>
            <w:pPr>
              <w:pStyle w:val="TableContents"/>
              <w:bidi w:val="0"/>
              <w:spacing w:before="0" w:after="283"/>
              <w:jc w:val="left"/>
              <w:rPr>
                <w:sz w:val="4"/>
                <w:szCs w:val="4"/>
              </w:rPr>
            </w:pPr>
            <w:r>
              <w:rPr>
                <w:sz w:val="4"/>
                <w:szCs w:val="4"/>
              </w:rPr>
            </w:r>
          </w:p>
        </w:tc>
        <w:tc>
          <w:tcPr>
            <w:tcW w:w="7961" w:type="dxa"/>
            <w:gridSpan w:val="2"/>
            <w:tcBorders/>
            <w:vAlign w:val="center"/>
          </w:tcPr>
          <w:p>
            <w:pPr>
              <w:pStyle w:val="TableContents"/>
              <w:bidi w:val="0"/>
              <w:spacing w:before="0" w:after="283"/>
              <w:jc w:val="left"/>
              <w:rPr>
                <w:sz w:val="4"/>
                <w:szCs w:val="4"/>
              </w:rPr>
            </w:pPr>
            <w:r>
              <w:rPr>
                <w:sz w:val="4"/>
                <w:szCs w:val="4"/>
              </w:rPr>
            </w:r>
          </w:p>
        </w:tc>
      </w:tr>
      <w:tr>
        <w:trPr/>
        <w:tc>
          <w:tcPr>
            <w:tcW w:w="2244" w:type="dxa"/>
            <w:tcBorders/>
          </w:tcPr>
          <w:p>
            <w:pPr>
              <w:pStyle w:val="TableContents"/>
              <w:bidi w:val="0"/>
              <w:spacing w:before="0" w:after="283"/>
              <w:jc w:val="left"/>
              <w:rPr/>
            </w:pPr>
            <w:r>
              <w:rPr/>
              <w:t>Katherine Baicker, Ph.D.*</w:t>
            </w:r>
          </w:p>
        </w:tc>
        <w:tc>
          <w:tcPr>
            <w:tcW w:w="204" w:type="dxa"/>
            <w:tcBorders/>
            <w:vAlign w:val="bottom"/>
          </w:tcPr>
          <w:p>
            <w:pPr>
              <w:pStyle w:val="TableContents"/>
              <w:bidi w:val="0"/>
              <w:spacing w:before="0" w:after="283"/>
              <w:jc w:val="left"/>
              <w:rPr/>
            </w:pPr>
            <w:r>
              <w:rPr/>
              <w:t>  </w:t>
            </w:r>
          </w:p>
        </w:tc>
        <w:tc>
          <w:tcPr>
            <w:tcW w:w="7757" w:type="dxa"/>
            <w:tcBorders/>
          </w:tcPr>
          <w:p>
            <w:pPr>
              <w:pStyle w:val="TableContents"/>
              <w:bidi w:val="0"/>
              <w:spacing w:before="0" w:after="283"/>
              <w:jc w:val="left"/>
              <w:rPr/>
            </w:pPr>
            <w:r>
              <w:rPr/>
              <w:t>Dr. Baicker has served as a director of Lilly since 2011. Dr. Baicker has served as the Provost of the University of Chicago since 2023 and the Emmett Dedmon Professor of the Harris School of Public Policy at the University of Chicago since 2017. Dr. Baicker also served as the Dean of the Harris School of Public Policy at the University of Chicago from 2017 to 2023. Dr. Baicker previously served on the board of directors of HMS Holdings Corp. from 2019 to 2021. Dr. Baicker currently serves on the Panel of Health Advisers to the Congressional Budget Office, the Advisory Board of the National Institute for Health Care Management Foundation and the Editorial Board of Health Affairs. Dr. Baicker also serves as research associate of the National Bureau of Economic Research and as a trustee of the Mayo Clinic. Dr. Baicker is an elected member of the National Academy of Medicine, the National Academy of Social Insurance, the Council on Foreign Relations and the American Academy of Arts and Sciences.</w:t>
            </w:r>
          </w:p>
        </w:tc>
      </w:tr>
      <w:tr>
        <w:trPr>
          <w:trHeight w:val="120" w:hRule="atLeast"/>
        </w:trPr>
        <w:tc>
          <w:tcPr>
            <w:tcW w:w="2244" w:type="dxa"/>
            <w:tcBorders/>
            <w:vAlign w:val="center"/>
          </w:tcPr>
          <w:p>
            <w:pPr>
              <w:pStyle w:val="TableContents"/>
              <w:bidi w:val="0"/>
              <w:spacing w:before="0" w:after="283"/>
              <w:jc w:val="left"/>
              <w:rPr>
                <w:sz w:val="4"/>
                <w:szCs w:val="4"/>
              </w:rPr>
            </w:pPr>
            <w:r>
              <w:rPr>
                <w:sz w:val="4"/>
                <w:szCs w:val="4"/>
              </w:rPr>
            </w:r>
          </w:p>
        </w:tc>
        <w:tc>
          <w:tcPr>
            <w:tcW w:w="7961" w:type="dxa"/>
            <w:gridSpan w:val="2"/>
            <w:tcBorders/>
            <w:vAlign w:val="center"/>
          </w:tcPr>
          <w:p>
            <w:pPr>
              <w:pStyle w:val="TableContents"/>
              <w:bidi w:val="0"/>
              <w:spacing w:before="0" w:after="283"/>
              <w:jc w:val="left"/>
              <w:rPr>
                <w:sz w:val="4"/>
                <w:szCs w:val="4"/>
              </w:rPr>
            </w:pPr>
            <w:r>
              <w:rPr>
                <w:sz w:val="4"/>
                <w:szCs w:val="4"/>
              </w:rPr>
            </w:r>
          </w:p>
        </w:tc>
      </w:tr>
      <w:tr>
        <w:trPr/>
        <w:tc>
          <w:tcPr>
            <w:tcW w:w="2244" w:type="dxa"/>
            <w:tcBorders/>
          </w:tcPr>
          <w:p>
            <w:pPr>
              <w:pStyle w:val="TableContents"/>
              <w:bidi w:val="0"/>
              <w:spacing w:before="0" w:after="283"/>
              <w:jc w:val="left"/>
              <w:rPr/>
            </w:pPr>
            <w:r>
              <w:rPr/>
              <w:t>J. Erik Fyrwald*</w:t>
            </w:r>
          </w:p>
        </w:tc>
        <w:tc>
          <w:tcPr>
            <w:tcW w:w="204" w:type="dxa"/>
            <w:tcBorders/>
            <w:vAlign w:val="bottom"/>
          </w:tcPr>
          <w:p>
            <w:pPr>
              <w:pStyle w:val="TableContents"/>
              <w:bidi w:val="0"/>
              <w:spacing w:before="0" w:after="283"/>
              <w:jc w:val="left"/>
              <w:rPr/>
            </w:pPr>
            <w:r>
              <w:rPr/>
              <w:t>  </w:t>
            </w:r>
          </w:p>
        </w:tc>
        <w:tc>
          <w:tcPr>
            <w:tcW w:w="7757" w:type="dxa"/>
            <w:tcBorders/>
          </w:tcPr>
          <w:p>
            <w:pPr>
              <w:pStyle w:val="TableContents"/>
              <w:bidi w:val="0"/>
              <w:spacing w:before="0" w:after="283"/>
              <w:jc w:val="left"/>
              <w:rPr/>
            </w:pPr>
            <w:r>
              <w:rPr/>
              <w:t>Mr. Fyrwald has served as a director of Lilly since 2005. Mr. Fyrwald has served as chief executive officer and director of International Flavors &amp; Fragrances Inc. since 2024. Previously, Mr. Fyrwald served as president and chief executive officer of Syngenta Group from 2016 to 2023. Mr. Fyrwald previously served on the boards of Syngenta Group and Bunge Limited.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244"/>
        <w:gridCol w:w="204"/>
        <w:gridCol w:w="7757"/>
      </w:tblGrid>
      <w:tr>
        <w:trPr/>
        <w:tc>
          <w:tcPr>
            <w:tcW w:w="224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7757" w:type="dxa"/>
            <w:tcBorders/>
            <w:vAlign w:val="center"/>
          </w:tcPr>
          <w:p>
            <w:pPr>
              <w:pStyle w:val="TableContents"/>
              <w:bidi w:val="0"/>
              <w:spacing w:before="0" w:after="283"/>
              <w:jc w:val="left"/>
              <w:rPr>
                <w:sz w:val="4"/>
                <w:szCs w:val="4"/>
              </w:rPr>
            </w:pPr>
            <w:r>
              <w:rPr>
                <w:sz w:val="4"/>
                <w:szCs w:val="4"/>
              </w:rPr>
            </w:r>
          </w:p>
        </w:tc>
      </w:tr>
      <w:tr>
        <w:trPr/>
        <w:tc>
          <w:tcPr>
            <w:tcW w:w="224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Position</w:t>
            </w:r>
          </w:p>
        </w:tc>
        <w:tc>
          <w:tcPr>
            <w:tcW w:w="204" w:type="dxa"/>
            <w:tcBorders/>
            <w:vAlign w:val="bottom"/>
          </w:tcPr>
          <w:p>
            <w:pPr>
              <w:pStyle w:val="TableContents"/>
              <w:bidi w:val="0"/>
              <w:spacing w:before="0" w:after="283"/>
              <w:jc w:val="left"/>
              <w:rPr/>
            </w:pPr>
            <w:r>
              <w:rPr/>
              <w:t>  </w:t>
            </w:r>
          </w:p>
        </w:tc>
        <w:tc>
          <w:tcPr>
            <w:tcW w:w="775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Present Principal Occupation or Employment;</w:t>
              <w:br/>
              <w:t>Material Positions Held During the Last Five Years;</w:t>
              <w:br/>
              <w:t>Citizenship (if not United States)</w:t>
            </w:r>
          </w:p>
        </w:tc>
      </w:tr>
      <w:tr>
        <w:trPr>
          <w:trHeight w:val="120" w:hRule="atLeast"/>
        </w:trPr>
        <w:tc>
          <w:tcPr>
            <w:tcW w:w="2244" w:type="dxa"/>
            <w:tcBorders/>
            <w:vAlign w:val="center"/>
          </w:tcPr>
          <w:p>
            <w:pPr>
              <w:pStyle w:val="TableContents"/>
              <w:bidi w:val="0"/>
              <w:spacing w:before="0" w:after="283"/>
              <w:jc w:val="left"/>
              <w:rPr>
                <w:sz w:val="4"/>
                <w:szCs w:val="4"/>
              </w:rPr>
            </w:pPr>
            <w:r>
              <w:rPr>
                <w:sz w:val="4"/>
                <w:szCs w:val="4"/>
              </w:rPr>
            </w:r>
          </w:p>
        </w:tc>
        <w:tc>
          <w:tcPr>
            <w:tcW w:w="7961" w:type="dxa"/>
            <w:gridSpan w:val="2"/>
            <w:tcBorders/>
            <w:vAlign w:val="center"/>
          </w:tcPr>
          <w:p>
            <w:pPr>
              <w:pStyle w:val="TableContents"/>
              <w:bidi w:val="0"/>
              <w:spacing w:before="0" w:after="283"/>
              <w:jc w:val="left"/>
              <w:rPr>
                <w:sz w:val="4"/>
                <w:szCs w:val="4"/>
              </w:rPr>
            </w:pPr>
            <w:r>
              <w:rPr>
                <w:sz w:val="4"/>
                <w:szCs w:val="4"/>
              </w:rPr>
            </w:r>
          </w:p>
        </w:tc>
      </w:tr>
      <w:tr>
        <w:trPr/>
        <w:tc>
          <w:tcPr>
            <w:tcW w:w="2244" w:type="dxa"/>
            <w:tcBorders/>
          </w:tcPr>
          <w:p>
            <w:pPr>
              <w:pStyle w:val="TableContents"/>
              <w:bidi w:val="0"/>
              <w:spacing w:before="0" w:after="283"/>
              <w:jc w:val="left"/>
              <w:rPr/>
            </w:pPr>
            <w:r>
              <w:rPr/>
              <w:t>Mary Lynne Hedley, Ph.D.*</w:t>
            </w:r>
          </w:p>
        </w:tc>
        <w:tc>
          <w:tcPr>
            <w:tcW w:w="204" w:type="dxa"/>
            <w:tcBorders/>
            <w:vAlign w:val="bottom"/>
          </w:tcPr>
          <w:p>
            <w:pPr>
              <w:pStyle w:val="TableContents"/>
              <w:bidi w:val="0"/>
              <w:spacing w:before="0" w:after="283"/>
              <w:jc w:val="left"/>
              <w:rPr/>
            </w:pPr>
            <w:r>
              <w:rPr/>
              <w:t>  </w:t>
            </w:r>
          </w:p>
        </w:tc>
        <w:tc>
          <w:tcPr>
            <w:tcW w:w="7757" w:type="dxa"/>
            <w:tcBorders/>
          </w:tcPr>
          <w:p>
            <w:pPr>
              <w:pStyle w:val="TableContents"/>
              <w:bidi w:val="0"/>
              <w:spacing w:before="0" w:after="283"/>
              <w:jc w:val="left"/>
              <w:rPr/>
            </w:pPr>
            <w:r>
              <w:rPr/>
              <w:t>Dr. Hedley has served as director of Lilly since 2022. Dr. Hedley has been a venture partner at Third Rock Ventures since 2023 and has been a Senior Scientific Fellow at the Broad Institute of the Massachusetts Institute of Technology and Harvard University since 2021. From 2019 to 2020, Dr. Hedley served as a member of the executive research and development team at GlaxoSmithKline plc. Dr. Hedley sits on the boards of directors of Veeva Systems, Inc. and Centessa Pharmaceuticals plc. Previously, Dr. Hedley sat on the board of directors of Millendo Therapeutics, Inc.</w:t>
            </w:r>
          </w:p>
        </w:tc>
      </w:tr>
      <w:tr>
        <w:trPr>
          <w:trHeight w:val="120" w:hRule="atLeast"/>
        </w:trPr>
        <w:tc>
          <w:tcPr>
            <w:tcW w:w="2244" w:type="dxa"/>
            <w:tcBorders/>
            <w:vAlign w:val="center"/>
          </w:tcPr>
          <w:p>
            <w:pPr>
              <w:pStyle w:val="TableContents"/>
              <w:bidi w:val="0"/>
              <w:spacing w:before="0" w:after="283"/>
              <w:jc w:val="left"/>
              <w:rPr>
                <w:sz w:val="4"/>
                <w:szCs w:val="4"/>
              </w:rPr>
            </w:pPr>
            <w:r>
              <w:rPr>
                <w:sz w:val="4"/>
                <w:szCs w:val="4"/>
              </w:rPr>
            </w:r>
          </w:p>
        </w:tc>
        <w:tc>
          <w:tcPr>
            <w:tcW w:w="7961" w:type="dxa"/>
            <w:gridSpan w:val="2"/>
            <w:tcBorders/>
            <w:vAlign w:val="center"/>
          </w:tcPr>
          <w:p>
            <w:pPr>
              <w:pStyle w:val="TableContents"/>
              <w:bidi w:val="0"/>
              <w:spacing w:before="0" w:after="283"/>
              <w:jc w:val="left"/>
              <w:rPr>
                <w:sz w:val="4"/>
                <w:szCs w:val="4"/>
              </w:rPr>
            </w:pPr>
            <w:r>
              <w:rPr>
                <w:sz w:val="4"/>
                <w:szCs w:val="4"/>
              </w:rPr>
            </w:r>
          </w:p>
        </w:tc>
      </w:tr>
      <w:tr>
        <w:trPr/>
        <w:tc>
          <w:tcPr>
            <w:tcW w:w="2244" w:type="dxa"/>
            <w:tcBorders/>
          </w:tcPr>
          <w:p>
            <w:pPr>
              <w:pStyle w:val="TableContents"/>
              <w:bidi w:val="0"/>
              <w:spacing w:before="0" w:after="283"/>
              <w:jc w:val="left"/>
              <w:rPr/>
            </w:pPr>
            <w:r>
              <w:rPr/>
              <w:t>Jamere Jackson*</w:t>
            </w:r>
          </w:p>
        </w:tc>
        <w:tc>
          <w:tcPr>
            <w:tcW w:w="204" w:type="dxa"/>
            <w:tcBorders/>
            <w:vAlign w:val="bottom"/>
          </w:tcPr>
          <w:p>
            <w:pPr>
              <w:pStyle w:val="TableContents"/>
              <w:bidi w:val="0"/>
              <w:spacing w:before="0" w:after="283"/>
              <w:jc w:val="left"/>
              <w:rPr/>
            </w:pPr>
            <w:r>
              <w:rPr/>
              <w:t>  </w:t>
            </w:r>
          </w:p>
        </w:tc>
        <w:tc>
          <w:tcPr>
            <w:tcW w:w="7757" w:type="dxa"/>
            <w:tcBorders/>
          </w:tcPr>
          <w:p>
            <w:pPr>
              <w:pStyle w:val="TableContents"/>
              <w:bidi w:val="0"/>
              <w:spacing w:before="0" w:after="283"/>
              <w:jc w:val="left"/>
              <w:rPr/>
            </w:pPr>
            <w:r>
              <w:rPr/>
              <w:t>Mr. Jackson has served as director of Lilly since 2016. Mr. Jackson has been chief financial officer of AutoZone, Inc. since 2020. From 2018 until 2020, Mr. Jackson was chief financial officer of Hertz Global Holdings Inc. Mr. Jackson served on the board of directors for Hibbett, Inc. from 2020 until 2022.</w:t>
            </w:r>
          </w:p>
        </w:tc>
      </w:tr>
      <w:tr>
        <w:trPr>
          <w:trHeight w:val="120" w:hRule="atLeast"/>
        </w:trPr>
        <w:tc>
          <w:tcPr>
            <w:tcW w:w="2244" w:type="dxa"/>
            <w:tcBorders/>
            <w:vAlign w:val="center"/>
          </w:tcPr>
          <w:p>
            <w:pPr>
              <w:pStyle w:val="TableContents"/>
              <w:bidi w:val="0"/>
              <w:spacing w:before="0" w:after="283"/>
              <w:jc w:val="left"/>
              <w:rPr>
                <w:sz w:val="4"/>
                <w:szCs w:val="4"/>
              </w:rPr>
            </w:pPr>
            <w:r>
              <w:rPr>
                <w:sz w:val="4"/>
                <w:szCs w:val="4"/>
              </w:rPr>
            </w:r>
          </w:p>
        </w:tc>
        <w:tc>
          <w:tcPr>
            <w:tcW w:w="7961" w:type="dxa"/>
            <w:gridSpan w:val="2"/>
            <w:tcBorders/>
            <w:vAlign w:val="center"/>
          </w:tcPr>
          <w:p>
            <w:pPr>
              <w:pStyle w:val="TableContents"/>
              <w:bidi w:val="0"/>
              <w:spacing w:before="0" w:after="283"/>
              <w:jc w:val="left"/>
              <w:rPr>
                <w:sz w:val="4"/>
                <w:szCs w:val="4"/>
              </w:rPr>
            </w:pPr>
            <w:r>
              <w:rPr>
                <w:sz w:val="4"/>
                <w:szCs w:val="4"/>
              </w:rPr>
            </w:r>
          </w:p>
        </w:tc>
      </w:tr>
      <w:tr>
        <w:trPr/>
        <w:tc>
          <w:tcPr>
            <w:tcW w:w="2244" w:type="dxa"/>
            <w:tcBorders/>
          </w:tcPr>
          <w:p>
            <w:pPr>
              <w:pStyle w:val="TableContents"/>
              <w:bidi w:val="0"/>
              <w:spacing w:before="0" w:after="283"/>
              <w:jc w:val="left"/>
              <w:rPr/>
            </w:pPr>
            <w:r>
              <w:rPr/>
              <w:t>Kimberly H. Johnson*</w:t>
            </w:r>
          </w:p>
        </w:tc>
        <w:tc>
          <w:tcPr>
            <w:tcW w:w="204" w:type="dxa"/>
            <w:tcBorders/>
            <w:vAlign w:val="bottom"/>
          </w:tcPr>
          <w:p>
            <w:pPr>
              <w:pStyle w:val="TableContents"/>
              <w:bidi w:val="0"/>
              <w:spacing w:before="0" w:after="283"/>
              <w:jc w:val="left"/>
              <w:rPr/>
            </w:pPr>
            <w:r>
              <w:rPr/>
              <w:t>  </w:t>
            </w:r>
          </w:p>
        </w:tc>
        <w:tc>
          <w:tcPr>
            <w:tcW w:w="7757" w:type="dxa"/>
            <w:tcBorders/>
          </w:tcPr>
          <w:p>
            <w:pPr>
              <w:pStyle w:val="TableContents"/>
              <w:bidi w:val="0"/>
              <w:spacing w:before="0" w:after="283"/>
              <w:jc w:val="left"/>
              <w:rPr/>
            </w:pPr>
            <w:r>
              <w:rPr/>
              <w:t>Ms. Johnson has served as a director of Lilly since 2021. Ms. Johnson has served as vice president and chief operating officer of T. Rowe Price Group, Inc. since 2022. Prior to Ms. Johnson’s service with T. Rowe, Ms. Johnson held various roles at the Federal National Mortgage Association, including executive vice president and chief operating officer from 2018 to 2022. Ms. Johnson is a member of the board of trustees for Princeton University.</w:t>
            </w:r>
          </w:p>
        </w:tc>
      </w:tr>
      <w:tr>
        <w:trPr>
          <w:trHeight w:val="120" w:hRule="atLeast"/>
        </w:trPr>
        <w:tc>
          <w:tcPr>
            <w:tcW w:w="2244" w:type="dxa"/>
            <w:tcBorders/>
            <w:vAlign w:val="center"/>
          </w:tcPr>
          <w:p>
            <w:pPr>
              <w:pStyle w:val="TableContents"/>
              <w:bidi w:val="0"/>
              <w:spacing w:before="0" w:after="283"/>
              <w:jc w:val="left"/>
              <w:rPr>
                <w:sz w:val="4"/>
                <w:szCs w:val="4"/>
              </w:rPr>
            </w:pPr>
            <w:r>
              <w:rPr>
                <w:sz w:val="4"/>
                <w:szCs w:val="4"/>
              </w:rPr>
            </w:r>
          </w:p>
        </w:tc>
        <w:tc>
          <w:tcPr>
            <w:tcW w:w="7961" w:type="dxa"/>
            <w:gridSpan w:val="2"/>
            <w:tcBorders/>
            <w:vAlign w:val="center"/>
          </w:tcPr>
          <w:p>
            <w:pPr>
              <w:pStyle w:val="TableContents"/>
              <w:bidi w:val="0"/>
              <w:spacing w:before="0" w:after="283"/>
              <w:jc w:val="left"/>
              <w:rPr>
                <w:sz w:val="4"/>
                <w:szCs w:val="4"/>
              </w:rPr>
            </w:pPr>
            <w:r>
              <w:rPr>
                <w:sz w:val="4"/>
                <w:szCs w:val="4"/>
              </w:rPr>
            </w:r>
          </w:p>
        </w:tc>
      </w:tr>
      <w:tr>
        <w:trPr/>
        <w:tc>
          <w:tcPr>
            <w:tcW w:w="2244" w:type="dxa"/>
            <w:tcBorders/>
          </w:tcPr>
          <w:p>
            <w:pPr>
              <w:pStyle w:val="TableContents"/>
              <w:bidi w:val="0"/>
              <w:spacing w:before="0" w:after="283"/>
              <w:jc w:val="left"/>
              <w:rPr/>
            </w:pPr>
            <w:r>
              <w:rPr/>
              <w:t>William G. Kaelin, Jr., M.D.*</w:t>
            </w:r>
          </w:p>
        </w:tc>
        <w:tc>
          <w:tcPr>
            <w:tcW w:w="204" w:type="dxa"/>
            <w:tcBorders/>
            <w:vAlign w:val="bottom"/>
          </w:tcPr>
          <w:p>
            <w:pPr>
              <w:pStyle w:val="TableContents"/>
              <w:bidi w:val="0"/>
              <w:spacing w:before="0" w:after="283"/>
              <w:jc w:val="left"/>
              <w:rPr/>
            </w:pPr>
            <w:r>
              <w:rPr/>
              <w:t>  </w:t>
            </w:r>
          </w:p>
        </w:tc>
        <w:tc>
          <w:tcPr>
            <w:tcW w:w="7757" w:type="dxa"/>
            <w:tcBorders/>
          </w:tcPr>
          <w:p>
            <w:pPr>
              <w:pStyle w:val="TableContents"/>
              <w:bidi w:val="0"/>
              <w:spacing w:before="0" w:after="283"/>
              <w:jc w:val="left"/>
              <w:rPr/>
            </w:pPr>
            <w:r>
              <w:rPr/>
              <w:t>Dr. Kaelin has served as a director of Lilly since 2012. Dr. Kaelin has been the Sidney Farber Professor of Medicine at the Harvard Medical School since 2018. Dr. Kaelin has also been a professor at the Dana-Farber Cancer Institute since 2002. Dr. Kaelin has also been an investigator at the Howard Hughes Medical Institute since 2002. Dr. Kaelin is a member of the National Academy of Medicine, the National Academy of Sciences, the American College of Physicians, the Association of American Physicians, the American Society of Clinical Investigation (ASCI), the American Academy of Arts and Sciences, and the American Philosophical Society.</w:t>
            </w:r>
          </w:p>
        </w:tc>
      </w:tr>
      <w:tr>
        <w:trPr>
          <w:trHeight w:val="120" w:hRule="atLeast"/>
        </w:trPr>
        <w:tc>
          <w:tcPr>
            <w:tcW w:w="2244" w:type="dxa"/>
            <w:tcBorders/>
            <w:vAlign w:val="center"/>
          </w:tcPr>
          <w:p>
            <w:pPr>
              <w:pStyle w:val="TableContents"/>
              <w:bidi w:val="0"/>
              <w:spacing w:before="0" w:after="283"/>
              <w:jc w:val="left"/>
              <w:rPr>
                <w:sz w:val="4"/>
                <w:szCs w:val="4"/>
              </w:rPr>
            </w:pPr>
            <w:r>
              <w:rPr>
                <w:sz w:val="4"/>
                <w:szCs w:val="4"/>
              </w:rPr>
            </w:r>
          </w:p>
        </w:tc>
        <w:tc>
          <w:tcPr>
            <w:tcW w:w="7961" w:type="dxa"/>
            <w:gridSpan w:val="2"/>
            <w:tcBorders/>
            <w:vAlign w:val="center"/>
          </w:tcPr>
          <w:p>
            <w:pPr>
              <w:pStyle w:val="TableContents"/>
              <w:bidi w:val="0"/>
              <w:spacing w:before="0" w:after="283"/>
              <w:jc w:val="left"/>
              <w:rPr>
                <w:sz w:val="4"/>
                <w:szCs w:val="4"/>
              </w:rPr>
            </w:pPr>
            <w:r>
              <w:rPr>
                <w:sz w:val="4"/>
                <w:szCs w:val="4"/>
              </w:rPr>
            </w:r>
          </w:p>
        </w:tc>
      </w:tr>
      <w:tr>
        <w:trPr/>
        <w:tc>
          <w:tcPr>
            <w:tcW w:w="2244" w:type="dxa"/>
            <w:tcBorders/>
          </w:tcPr>
          <w:p>
            <w:pPr>
              <w:pStyle w:val="TableContents"/>
              <w:bidi w:val="0"/>
              <w:spacing w:before="0" w:after="283"/>
              <w:jc w:val="left"/>
              <w:rPr/>
            </w:pPr>
            <w:r>
              <w:rPr/>
              <w:t>Juan R. Luciano*</w:t>
            </w:r>
          </w:p>
        </w:tc>
        <w:tc>
          <w:tcPr>
            <w:tcW w:w="204" w:type="dxa"/>
            <w:tcBorders/>
            <w:vAlign w:val="bottom"/>
          </w:tcPr>
          <w:p>
            <w:pPr>
              <w:pStyle w:val="TableContents"/>
              <w:bidi w:val="0"/>
              <w:spacing w:before="0" w:after="283"/>
              <w:jc w:val="left"/>
              <w:rPr/>
            </w:pPr>
            <w:r>
              <w:rPr/>
              <w:t>  </w:t>
            </w:r>
          </w:p>
        </w:tc>
        <w:tc>
          <w:tcPr>
            <w:tcW w:w="7757" w:type="dxa"/>
            <w:tcBorders/>
          </w:tcPr>
          <w:p>
            <w:pPr>
              <w:pStyle w:val="TableContents"/>
              <w:bidi w:val="0"/>
              <w:spacing w:before="0" w:after="283"/>
              <w:jc w:val="left"/>
              <w:rPr/>
            </w:pPr>
            <w:r>
              <w:rPr/>
              <w:t>Mr. Luciano has served as a director of Lilly since 2016 and lead independent director since 2019. Mr. Luciano has served as chair at the Archer Daniels Midland Company (ADM) since 2016 and chief executive officer and president since 2015. Mr. Luciano currently serves on the board of directors of ADM and Intersect Illinois. Mr. Luciano also serves as an alternate director of Wilmar International. Mr. Luciano is a citizen of the U.S. and Argentina.</w:t>
            </w:r>
          </w:p>
        </w:tc>
      </w:tr>
      <w:tr>
        <w:trPr>
          <w:trHeight w:val="120" w:hRule="atLeast"/>
        </w:trPr>
        <w:tc>
          <w:tcPr>
            <w:tcW w:w="2244" w:type="dxa"/>
            <w:tcBorders/>
            <w:vAlign w:val="center"/>
          </w:tcPr>
          <w:p>
            <w:pPr>
              <w:pStyle w:val="TableContents"/>
              <w:bidi w:val="0"/>
              <w:spacing w:before="0" w:after="283"/>
              <w:jc w:val="left"/>
              <w:rPr>
                <w:sz w:val="4"/>
                <w:szCs w:val="4"/>
              </w:rPr>
            </w:pPr>
            <w:r>
              <w:rPr>
                <w:sz w:val="4"/>
                <w:szCs w:val="4"/>
              </w:rPr>
            </w:r>
          </w:p>
        </w:tc>
        <w:tc>
          <w:tcPr>
            <w:tcW w:w="7961" w:type="dxa"/>
            <w:gridSpan w:val="2"/>
            <w:tcBorders/>
            <w:vAlign w:val="center"/>
          </w:tcPr>
          <w:p>
            <w:pPr>
              <w:pStyle w:val="TableContents"/>
              <w:bidi w:val="0"/>
              <w:spacing w:before="0" w:after="283"/>
              <w:jc w:val="left"/>
              <w:rPr>
                <w:sz w:val="4"/>
                <w:szCs w:val="4"/>
              </w:rPr>
            </w:pPr>
            <w:r>
              <w:rPr>
                <w:sz w:val="4"/>
                <w:szCs w:val="4"/>
              </w:rPr>
            </w:r>
          </w:p>
        </w:tc>
      </w:tr>
      <w:tr>
        <w:trPr/>
        <w:tc>
          <w:tcPr>
            <w:tcW w:w="2244" w:type="dxa"/>
            <w:tcBorders/>
          </w:tcPr>
          <w:p>
            <w:pPr>
              <w:pStyle w:val="TableContents"/>
              <w:bidi w:val="0"/>
              <w:spacing w:before="0" w:after="283"/>
              <w:jc w:val="left"/>
              <w:rPr/>
            </w:pPr>
            <w:r>
              <w:rPr/>
              <w:t>David A. Ricks*</w:t>
            </w:r>
          </w:p>
        </w:tc>
        <w:tc>
          <w:tcPr>
            <w:tcW w:w="204" w:type="dxa"/>
            <w:tcBorders/>
            <w:vAlign w:val="bottom"/>
          </w:tcPr>
          <w:p>
            <w:pPr>
              <w:pStyle w:val="TableContents"/>
              <w:bidi w:val="0"/>
              <w:spacing w:before="0" w:after="283"/>
              <w:jc w:val="left"/>
              <w:rPr/>
            </w:pPr>
            <w:r>
              <w:rPr/>
              <w:t>  </w:t>
            </w:r>
          </w:p>
        </w:tc>
        <w:tc>
          <w:tcPr>
            <w:tcW w:w="7757" w:type="dxa"/>
            <w:tcBorders/>
          </w:tcPr>
          <w:p>
            <w:pPr>
              <w:pStyle w:val="TableContents"/>
              <w:bidi w:val="0"/>
              <w:spacing w:before="0" w:after="283"/>
              <w:jc w:val="left"/>
              <w:rPr/>
            </w:pPr>
            <w:r>
              <w:rPr/>
              <w:t>Mr. Ricks has served as chair, president and chief executive officer of Lilly since 2017. Previously, Mr. Ricks held various leadership roles with Lilly, including senior vice president and president, Lilly Bio-Medicines. Mr. Ricks currently serves on the board of directors for Adobe Inc. Mr. Ricks also serves as a director of the International Federation of Pharmaceutical Manufacturers &amp; Associations, the Pharmaceutical Research and Manufacturers of America, the Central Indiana Corporate Partnership and The Business Roundtable. Mr. Ricks is also a member of the U.S. Patent and Trademark Office Council for Inclusive Innovation and a Trustee of the Purdue University Board of Trustees.</w:t>
            </w:r>
          </w:p>
        </w:tc>
      </w:tr>
      <w:tr>
        <w:trPr>
          <w:trHeight w:val="120" w:hRule="atLeast"/>
        </w:trPr>
        <w:tc>
          <w:tcPr>
            <w:tcW w:w="2244" w:type="dxa"/>
            <w:tcBorders/>
            <w:vAlign w:val="center"/>
          </w:tcPr>
          <w:p>
            <w:pPr>
              <w:pStyle w:val="TableContents"/>
              <w:bidi w:val="0"/>
              <w:spacing w:before="0" w:after="283"/>
              <w:jc w:val="left"/>
              <w:rPr>
                <w:sz w:val="4"/>
                <w:szCs w:val="4"/>
              </w:rPr>
            </w:pPr>
            <w:r>
              <w:rPr>
                <w:sz w:val="4"/>
                <w:szCs w:val="4"/>
              </w:rPr>
            </w:r>
          </w:p>
        </w:tc>
        <w:tc>
          <w:tcPr>
            <w:tcW w:w="7961" w:type="dxa"/>
            <w:gridSpan w:val="2"/>
            <w:tcBorders/>
            <w:vAlign w:val="center"/>
          </w:tcPr>
          <w:p>
            <w:pPr>
              <w:pStyle w:val="TableContents"/>
              <w:bidi w:val="0"/>
              <w:spacing w:before="0" w:after="283"/>
              <w:jc w:val="left"/>
              <w:rPr>
                <w:sz w:val="4"/>
                <w:szCs w:val="4"/>
              </w:rPr>
            </w:pPr>
            <w:r>
              <w:rPr>
                <w:sz w:val="4"/>
                <w:szCs w:val="4"/>
              </w:rPr>
            </w:r>
          </w:p>
        </w:tc>
      </w:tr>
      <w:tr>
        <w:trPr/>
        <w:tc>
          <w:tcPr>
            <w:tcW w:w="2244" w:type="dxa"/>
            <w:tcBorders/>
          </w:tcPr>
          <w:p>
            <w:pPr>
              <w:pStyle w:val="TableContents"/>
              <w:bidi w:val="0"/>
              <w:spacing w:before="0" w:after="283"/>
              <w:jc w:val="left"/>
              <w:rPr/>
            </w:pPr>
            <w:r>
              <w:rPr/>
              <w:t>Jon Moeller*</w:t>
            </w:r>
          </w:p>
        </w:tc>
        <w:tc>
          <w:tcPr>
            <w:tcW w:w="204" w:type="dxa"/>
            <w:tcBorders/>
            <w:vAlign w:val="bottom"/>
          </w:tcPr>
          <w:p>
            <w:pPr>
              <w:pStyle w:val="TableContents"/>
              <w:bidi w:val="0"/>
              <w:spacing w:before="0" w:after="283"/>
              <w:jc w:val="left"/>
              <w:rPr/>
            </w:pPr>
            <w:r>
              <w:rPr/>
              <w:t>  </w:t>
            </w:r>
          </w:p>
        </w:tc>
        <w:tc>
          <w:tcPr>
            <w:tcW w:w="7757" w:type="dxa"/>
            <w:tcBorders/>
          </w:tcPr>
          <w:p>
            <w:pPr>
              <w:pStyle w:val="TableContents"/>
              <w:bidi w:val="0"/>
              <w:spacing w:before="0" w:after="283"/>
              <w:jc w:val="left"/>
              <w:rPr/>
            </w:pPr>
            <w:r>
              <w:rPr/>
              <w:t>Mr. Moeller has served as a director of Lilly since 2024. Mr. Moeller has served as chairman, president and chief executive officer of Procter &amp; Gamble Company since 2022. Previously, Mr. Moeller held various leadership roles with Procter &amp; Gamble, including vice chairman, chief financial officer and chief operating officer. Mr. Moeller currently serves as a director of The Business Roundtable, the U.S. China Business Council and the Alliance to End Plastic Waste.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245"/>
        <w:gridCol w:w="203"/>
        <w:gridCol w:w="7757"/>
      </w:tblGrid>
      <w:tr>
        <w:trPr/>
        <w:tc>
          <w:tcPr>
            <w:tcW w:w="224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7757" w:type="dxa"/>
            <w:tcBorders/>
            <w:vAlign w:val="center"/>
          </w:tcPr>
          <w:p>
            <w:pPr>
              <w:pStyle w:val="TableContents"/>
              <w:bidi w:val="0"/>
              <w:spacing w:before="0" w:after="283"/>
              <w:jc w:val="left"/>
              <w:rPr>
                <w:sz w:val="4"/>
                <w:szCs w:val="4"/>
              </w:rPr>
            </w:pPr>
            <w:r>
              <w:rPr>
                <w:sz w:val="4"/>
                <w:szCs w:val="4"/>
              </w:rPr>
            </w:r>
          </w:p>
        </w:tc>
      </w:tr>
      <w:tr>
        <w:trPr/>
        <w:tc>
          <w:tcPr>
            <w:tcW w:w="224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Position</w:t>
            </w:r>
          </w:p>
        </w:tc>
        <w:tc>
          <w:tcPr>
            <w:tcW w:w="203" w:type="dxa"/>
            <w:tcBorders/>
            <w:vAlign w:val="bottom"/>
          </w:tcPr>
          <w:p>
            <w:pPr>
              <w:pStyle w:val="TableContents"/>
              <w:bidi w:val="0"/>
              <w:spacing w:before="0" w:after="283"/>
              <w:jc w:val="left"/>
              <w:rPr/>
            </w:pPr>
            <w:r>
              <w:rPr/>
              <w:t>  </w:t>
            </w:r>
          </w:p>
        </w:tc>
        <w:tc>
          <w:tcPr>
            <w:tcW w:w="775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Present Principal Occupation or Employment;</w:t>
              <w:br/>
              <w:t>Material Positions Held During the Last Five Years;</w:t>
              <w:br/>
              <w:t>Citizenship (if not United States)</w:t>
            </w:r>
          </w:p>
        </w:tc>
      </w:tr>
      <w:tr>
        <w:trPr>
          <w:trHeight w:val="120" w:hRule="atLeast"/>
        </w:trPr>
        <w:tc>
          <w:tcPr>
            <w:tcW w:w="2245" w:type="dxa"/>
            <w:tcBorders/>
            <w:vAlign w:val="center"/>
          </w:tcPr>
          <w:p>
            <w:pPr>
              <w:pStyle w:val="TableContents"/>
              <w:bidi w:val="0"/>
              <w:spacing w:before="0" w:after="283"/>
              <w:jc w:val="left"/>
              <w:rPr>
                <w:sz w:val="4"/>
                <w:szCs w:val="4"/>
              </w:rPr>
            </w:pPr>
            <w:r>
              <w:rPr>
                <w:sz w:val="4"/>
                <w:szCs w:val="4"/>
              </w:rPr>
            </w:r>
          </w:p>
        </w:tc>
        <w:tc>
          <w:tcPr>
            <w:tcW w:w="7960" w:type="dxa"/>
            <w:gridSpan w:val="2"/>
            <w:tcBorders/>
            <w:vAlign w:val="center"/>
          </w:tcPr>
          <w:p>
            <w:pPr>
              <w:pStyle w:val="TableContents"/>
              <w:bidi w:val="0"/>
              <w:spacing w:before="0" w:after="283"/>
              <w:jc w:val="left"/>
              <w:rPr>
                <w:sz w:val="4"/>
                <w:szCs w:val="4"/>
              </w:rPr>
            </w:pPr>
            <w:r>
              <w:rPr>
                <w:sz w:val="4"/>
                <w:szCs w:val="4"/>
              </w:rPr>
            </w:r>
          </w:p>
        </w:tc>
      </w:tr>
      <w:tr>
        <w:trPr/>
        <w:tc>
          <w:tcPr>
            <w:tcW w:w="2245" w:type="dxa"/>
            <w:tcBorders/>
          </w:tcPr>
          <w:p>
            <w:pPr>
              <w:pStyle w:val="TableContents"/>
              <w:bidi w:val="0"/>
              <w:spacing w:before="0" w:after="283"/>
              <w:jc w:val="left"/>
              <w:rPr/>
            </w:pPr>
            <w:r>
              <w:rPr/>
              <w:t>Gabrielle Sulzberger*</w:t>
            </w:r>
          </w:p>
        </w:tc>
        <w:tc>
          <w:tcPr>
            <w:tcW w:w="203" w:type="dxa"/>
            <w:tcBorders/>
            <w:vAlign w:val="bottom"/>
          </w:tcPr>
          <w:p>
            <w:pPr>
              <w:pStyle w:val="TableContents"/>
              <w:bidi w:val="0"/>
              <w:spacing w:before="0" w:after="283"/>
              <w:jc w:val="left"/>
              <w:rPr/>
            </w:pPr>
            <w:r>
              <w:rPr/>
              <w:t>  </w:t>
            </w:r>
          </w:p>
        </w:tc>
        <w:tc>
          <w:tcPr>
            <w:tcW w:w="7757" w:type="dxa"/>
            <w:tcBorders/>
          </w:tcPr>
          <w:p>
            <w:pPr>
              <w:pStyle w:val="TableContents"/>
              <w:bidi w:val="0"/>
              <w:spacing w:before="0" w:after="283"/>
              <w:jc w:val="left"/>
              <w:rPr/>
            </w:pPr>
            <w:r>
              <w:rPr/>
              <w:t>Ms. Sulzberger has served as a director of Lilly since 2021. Ms. Sulzberger has served as senior advisor of Teneo and as senior managing director at Centerbridge Partners, each since 2024. Previously, Ms. Sulzberger has served as chair of Global ESG Advisory at Teneo and as senior advisor to Centerbridge Partners, each from 2021 to 2024. Ms. Sulzberger has also served as senior advisor to Two Sigma Impact from 2021 to 2023. Ms. Sulzberger currently serves on the board of directors of Mastercard Incorporated. Ms. Sulzberger also serves on the boards of the Metropolitan Museum of Art, the Ford Foundation and Sesame Street Workshop. Previously, Ms. Sulzberger served on the boards of Warby Parker Inc., Cerevel Therapeutics Holdings, Inc. and Brixmor Property Group Inc.</w:t>
            </w:r>
          </w:p>
        </w:tc>
      </w:tr>
      <w:tr>
        <w:trPr>
          <w:trHeight w:val="120" w:hRule="atLeast"/>
        </w:trPr>
        <w:tc>
          <w:tcPr>
            <w:tcW w:w="2245" w:type="dxa"/>
            <w:tcBorders/>
            <w:vAlign w:val="center"/>
          </w:tcPr>
          <w:p>
            <w:pPr>
              <w:pStyle w:val="TableContents"/>
              <w:bidi w:val="0"/>
              <w:spacing w:before="0" w:after="283"/>
              <w:jc w:val="left"/>
              <w:rPr>
                <w:sz w:val="4"/>
                <w:szCs w:val="4"/>
              </w:rPr>
            </w:pPr>
            <w:r>
              <w:rPr>
                <w:sz w:val="4"/>
                <w:szCs w:val="4"/>
              </w:rPr>
            </w:r>
          </w:p>
        </w:tc>
        <w:tc>
          <w:tcPr>
            <w:tcW w:w="7960" w:type="dxa"/>
            <w:gridSpan w:val="2"/>
            <w:tcBorders/>
            <w:vAlign w:val="center"/>
          </w:tcPr>
          <w:p>
            <w:pPr>
              <w:pStyle w:val="TableContents"/>
              <w:bidi w:val="0"/>
              <w:spacing w:before="0" w:after="283"/>
              <w:jc w:val="left"/>
              <w:rPr>
                <w:sz w:val="4"/>
                <w:szCs w:val="4"/>
              </w:rPr>
            </w:pPr>
            <w:r>
              <w:rPr>
                <w:sz w:val="4"/>
                <w:szCs w:val="4"/>
              </w:rPr>
            </w:r>
          </w:p>
        </w:tc>
      </w:tr>
      <w:tr>
        <w:trPr/>
        <w:tc>
          <w:tcPr>
            <w:tcW w:w="2245" w:type="dxa"/>
            <w:tcBorders/>
          </w:tcPr>
          <w:p>
            <w:pPr>
              <w:pStyle w:val="TableContents"/>
              <w:bidi w:val="0"/>
              <w:spacing w:before="0" w:after="283"/>
              <w:jc w:val="left"/>
              <w:rPr/>
            </w:pPr>
            <w:r>
              <w:rPr/>
              <w:t>Adrienne Brown</w:t>
            </w:r>
          </w:p>
        </w:tc>
        <w:tc>
          <w:tcPr>
            <w:tcW w:w="203" w:type="dxa"/>
            <w:tcBorders/>
            <w:vAlign w:val="bottom"/>
          </w:tcPr>
          <w:p>
            <w:pPr>
              <w:pStyle w:val="TableContents"/>
              <w:bidi w:val="0"/>
              <w:spacing w:before="0" w:after="283"/>
              <w:jc w:val="left"/>
              <w:rPr/>
            </w:pPr>
            <w:r>
              <w:rPr/>
              <w:t>  </w:t>
            </w:r>
          </w:p>
        </w:tc>
        <w:tc>
          <w:tcPr>
            <w:tcW w:w="7757" w:type="dxa"/>
            <w:tcBorders/>
          </w:tcPr>
          <w:p>
            <w:pPr>
              <w:pStyle w:val="TableContents"/>
              <w:bidi w:val="0"/>
              <w:spacing w:before="0" w:after="283"/>
              <w:jc w:val="left"/>
              <w:rPr/>
            </w:pPr>
            <w:r>
              <w:rPr/>
              <w:t>Ms. Brown has served as executive vice president and president, Lilly Immunology since November 2025. Ms. Brown has previously held various leadership roles at Lilly, including group vice president of corporate business development from 2023 to November 2025, group vice president, U.S. Diabetes and Obesity from 2020 to 2023, and senior director Diabetes/GHD Business Unit from 2018 to 2020.</w:t>
            </w:r>
          </w:p>
        </w:tc>
      </w:tr>
      <w:tr>
        <w:trPr>
          <w:trHeight w:val="120" w:hRule="atLeast"/>
        </w:trPr>
        <w:tc>
          <w:tcPr>
            <w:tcW w:w="2245" w:type="dxa"/>
            <w:tcBorders/>
            <w:vAlign w:val="center"/>
          </w:tcPr>
          <w:p>
            <w:pPr>
              <w:pStyle w:val="TableContents"/>
              <w:bidi w:val="0"/>
              <w:spacing w:before="0" w:after="283"/>
              <w:jc w:val="left"/>
              <w:rPr>
                <w:sz w:val="4"/>
                <w:szCs w:val="4"/>
              </w:rPr>
            </w:pPr>
            <w:r>
              <w:rPr>
                <w:sz w:val="4"/>
                <w:szCs w:val="4"/>
              </w:rPr>
            </w:r>
          </w:p>
        </w:tc>
        <w:tc>
          <w:tcPr>
            <w:tcW w:w="7960" w:type="dxa"/>
            <w:gridSpan w:val="2"/>
            <w:tcBorders/>
            <w:vAlign w:val="center"/>
          </w:tcPr>
          <w:p>
            <w:pPr>
              <w:pStyle w:val="TableContents"/>
              <w:bidi w:val="0"/>
              <w:spacing w:before="0" w:after="283"/>
              <w:jc w:val="left"/>
              <w:rPr>
                <w:sz w:val="4"/>
                <w:szCs w:val="4"/>
              </w:rPr>
            </w:pPr>
            <w:r>
              <w:rPr>
                <w:sz w:val="4"/>
                <w:szCs w:val="4"/>
              </w:rPr>
            </w:r>
          </w:p>
        </w:tc>
      </w:tr>
      <w:tr>
        <w:trPr/>
        <w:tc>
          <w:tcPr>
            <w:tcW w:w="2245" w:type="dxa"/>
            <w:tcBorders/>
          </w:tcPr>
          <w:p>
            <w:pPr>
              <w:pStyle w:val="TableContents"/>
              <w:bidi w:val="0"/>
              <w:spacing w:before="0" w:after="283"/>
              <w:jc w:val="left"/>
              <w:rPr/>
            </w:pPr>
            <w:r>
              <w:rPr/>
              <w:t>Kenneth Custer</w:t>
            </w:r>
          </w:p>
        </w:tc>
        <w:tc>
          <w:tcPr>
            <w:tcW w:w="203" w:type="dxa"/>
            <w:tcBorders/>
            <w:vAlign w:val="bottom"/>
          </w:tcPr>
          <w:p>
            <w:pPr>
              <w:pStyle w:val="TableContents"/>
              <w:bidi w:val="0"/>
              <w:spacing w:before="0" w:after="283"/>
              <w:jc w:val="left"/>
              <w:rPr/>
            </w:pPr>
            <w:r>
              <w:rPr/>
              <w:t>  </w:t>
            </w:r>
          </w:p>
        </w:tc>
        <w:tc>
          <w:tcPr>
            <w:tcW w:w="7757" w:type="dxa"/>
            <w:tcBorders/>
          </w:tcPr>
          <w:p>
            <w:pPr>
              <w:pStyle w:val="TableContents"/>
              <w:bidi w:val="0"/>
              <w:spacing w:before="0" w:after="283"/>
              <w:jc w:val="left"/>
              <w:rPr/>
            </w:pPr>
            <w:r>
              <w:rPr/>
              <w:t>Mr. Custer has held the role of executive vice president and president, Lilly Cardiometabolic Health since June 2025. Mr. Custer held various leadership roles with Lilly, including as general manager of Lilly Canada from 2023 until assuming his current position, senior vice president, corporate business development from 2020 to 2023, vice president, portfolio strategy, NGR, and Chorus from 2018 to 2020.</w:t>
            </w:r>
          </w:p>
        </w:tc>
      </w:tr>
      <w:tr>
        <w:trPr>
          <w:trHeight w:val="120" w:hRule="atLeast"/>
        </w:trPr>
        <w:tc>
          <w:tcPr>
            <w:tcW w:w="2245" w:type="dxa"/>
            <w:tcBorders/>
            <w:vAlign w:val="center"/>
          </w:tcPr>
          <w:p>
            <w:pPr>
              <w:pStyle w:val="TableContents"/>
              <w:bidi w:val="0"/>
              <w:spacing w:before="0" w:after="283"/>
              <w:jc w:val="left"/>
              <w:rPr>
                <w:sz w:val="4"/>
                <w:szCs w:val="4"/>
              </w:rPr>
            </w:pPr>
            <w:r>
              <w:rPr>
                <w:sz w:val="4"/>
                <w:szCs w:val="4"/>
              </w:rPr>
            </w:r>
          </w:p>
        </w:tc>
        <w:tc>
          <w:tcPr>
            <w:tcW w:w="7960" w:type="dxa"/>
            <w:gridSpan w:val="2"/>
            <w:tcBorders/>
            <w:vAlign w:val="center"/>
          </w:tcPr>
          <w:p>
            <w:pPr>
              <w:pStyle w:val="TableContents"/>
              <w:bidi w:val="0"/>
              <w:spacing w:before="0" w:after="283"/>
              <w:jc w:val="left"/>
              <w:rPr>
                <w:sz w:val="4"/>
                <w:szCs w:val="4"/>
              </w:rPr>
            </w:pPr>
            <w:r>
              <w:rPr>
                <w:sz w:val="4"/>
                <w:szCs w:val="4"/>
              </w:rPr>
            </w:r>
          </w:p>
        </w:tc>
      </w:tr>
      <w:tr>
        <w:trPr/>
        <w:tc>
          <w:tcPr>
            <w:tcW w:w="2245" w:type="dxa"/>
            <w:tcBorders/>
          </w:tcPr>
          <w:p>
            <w:pPr>
              <w:pStyle w:val="TableContents"/>
              <w:bidi w:val="0"/>
              <w:spacing w:before="0" w:after="283"/>
              <w:jc w:val="left"/>
              <w:rPr/>
            </w:pPr>
            <w:r>
              <w:rPr/>
              <w:t>Eric Dozier</w:t>
            </w:r>
          </w:p>
        </w:tc>
        <w:tc>
          <w:tcPr>
            <w:tcW w:w="203" w:type="dxa"/>
            <w:tcBorders/>
            <w:vAlign w:val="bottom"/>
          </w:tcPr>
          <w:p>
            <w:pPr>
              <w:pStyle w:val="TableContents"/>
              <w:bidi w:val="0"/>
              <w:spacing w:before="0" w:after="283"/>
              <w:jc w:val="left"/>
              <w:rPr/>
            </w:pPr>
            <w:r>
              <w:rPr/>
              <w:t>  </w:t>
            </w:r>
          </w:p>
        </w:tc>
        <w:tc>
          <w:tcPr>
            <w:tcW w:w="7757" w:type="dxa"/>
            <w:tcBorders/>
          </w:tcPr>
          <w:p>
            <w:pPr>
              <w:pStyle w:val="TableContents"/>
              <w:bidi w:val="0"/>
              <w:spacing w:before="0" w:after="283"/>
              <w:jc w:val="left"/>
              <w:rPr/>
            </w:pPr>
            <w:r>
              <w:rPr/>
              <w:t>Mr. Dozier has held the role of executive vice president and chief people officer of Lilly since 2022. Mr. Dozier has held various leadership roles with Lilly, including senior vice president, chief commercial officer for Loxo@Lilly from 2021 to 2022, vice president, North American oncology from 2018 to 2021, and vice president, global ethics and compliance officer from 2017 to 2018.</w:t>
            </w:r>
          </w:p>
        </w:tc>
      </w:tr>
      <w:tr>
        <w:trPr>
          <w:trHeight w:val="120" w:hRule="atLeast"/>
        </w:trPr>
        <w:tc>
          <w:tcPr>
            <w:tcW w:w="2245" w:type="dxa"/>
            <w:tcBorders/>
            <w:vAlign w:val="center"/>
          </w:tcPr>
          <w:p>
            <w:pPr>
              <w:pStyle w:val="TableContents"/>
              <w:bidi w:val="0"/>
              <w:spacing w:before="0" w:after="283"/>
              <w:jc w:val="left"/>
              <w:rPr>
                <w:sz w:val="4"/>
                <w:szCs w:val="4"/>
              </w:rPr>
            </w:pPr>
            <w:r>
              <w:rPr>
                <w:sz w:val="4"/>
                <w:szCs w:val="4"/>
              </w:rPr>
            </w:r>
          </w:p>
        </w:tc>
        <w:tc>
          <w:tcPr>
            <w:tcW w:w="7960" w:type="dxa"/>
            <w:gridSpan w:val="2"/>
            <w:tcBorders/>
            <w:vAlign w:val="center"/>
          </w:tcPr>
          <w:p>
            <w:pPr>
              <w:pStyle w:val="TableContents"/>
              <w:bidi w:val="0"/>
              <w:spacing w:before="0" w:after="283"/>
              <w:jc w:val="left"/>
              <w:rPr>
                <w:sz w:val="4"/>
                <w:szCs w:val="4"/>
              </w:rPr>
            </w:pPr>
            <w:r>
              <w:rPr>
                <w:sz w:val="4"/>
                <w:szCs w:val="4"/>
              </w:rPr>
            </w:r>
          </w:p>
        </w:tc>
      </w:tr>
      <w:tr>
        <w:trPr/>
        <w:tc>
          <w:tcPr>
            <w:tcW w:w="2245" w:type="dxa"/>
            <w:tcBorders/>
          </w:tcPr>
          <w:p>
            <w:pPr>
              <w:pStyle w:val="TableContents"/>
              <w:bidi w:val="0"/>
              <w:spacing w:before="0" w:after="283"/>
              <w:jc w:val="left"/>
              <w:rPr/>
            </w:pPr>
            <w:r>
              <w:rPr/>
              <w:t>Anat Hakim</w:t>
            </w:r>
          </w:p>
        </w:tc>
        <w:tc>
          <w:tcPr>
            <w:tcW w:w="203" w:type="dxa"/>
            <w:tcBorders/>
            <w:vAlign w:val="bottom"/>
          </w:tcPr>
          <w:p>
            <w:pPr>
              <w:pStyle w:val="TableContents"/>
              <w:bidi w:val="0"/>
              <w:spacing w:before="0" w:after="283"/>
              <w:jc w:val="left"/>
              <w:rPr/>
            </w:pPr>
            <w:r>
              <w:rPr/>
              <w:t>  </w:t>
            </w:r>
          </w:p>
        </w:tc>
        <w:tc>
          <w:tcPr>
            <w:tcW w:w="7757" w:type="dxa"/>
            <w:tcBorders/>
          </w:tcPr>
          <w:p>
            <w:pPr>
              <w:pStyle w:val="TableContents"/>
              <w:bidi w:val="0"/>
              <w:spacing w:before="0" w:after="283"/>
              <w:jc w:val="left"/>
              <w:rPr/>
            </w:pPr>
            <w:r>
              <w:rPr/>
              <w:t>Ms. Hakim has held the role of executive vice president, general counsel and secretary of Lilly since 2020. Prior to joining Lilly, Ms. Hakim served as executive vice president, general counsel and secretary of WellCare Health Plans, Inc. (“WellCare”) from 2016 to 2018, and as executive vice president, general counsel and secretary of WellCare from 2018 to 2020. Ms. Hakim is a citizen of the U.S. and Israel.</w:t>
            </w:r>
          </w:p>
        </w:tc>
      </w:tr>
      <w:tr>
        <w:trPr>
          <w:trHeight w:val="120" w:hRule="atLeast"/>
        </w:trPr>
        <w:tc>
          <w:tcPr>
            <w:tcW w:w="2245" w:type="dxa"/>
            <w:tcBorders/>
            <w:vAlign w:val="center"/>
          </w:tcPr>
          <w:p>
            <w:pPr>
              <w:pStyle w:val="TableContents"/>
              <w:bidi w:val="0"/>
              <w:spacing w:before="0" w:after="283"/>
              <w:jc w:val="left"/>
              <w:rPr>
                <w:sz w:val="4"/>
                <w:szCs w:val="4"/>
              </w:rPr>
            </w:pPr>
            <w:r>
              <w:rPr>
                <w:sz w:val="4"/>
                <w:szCs w:val="4"/>
              </w:rPr>
            </w:r>
          </w:p>
        </w:tc>
        <w:tc>
          <w:tcPr>
            <w:tcW w:w="7960" w:type="dxa"/>
            <w:gridSpan w:val="2"/>
            <w:tcBorders/>
            <w:vAlign w:val="center"/>
          </w:tcPr>
          <w:p>
            <w:pPr>
              <w:pStyle w:val="TableContents"/>
              <w:bidi w:val="0"/>
              <w:spacing w:before="0" w:after="283"/>
              <w:jc w:val="left"/>
              <w:rPr>
                <w:sz w:val="4"/>
                <w:szCs w:val="4"/>
              </w:rPr>
            </w:pPr>
            <w:r>
              <w:rPr>
                <w:sz w:val="4"/>
                <w:szCs w:val="4"/>
              </w:rPr>
            </w:r>
          </w:p>
        </w:tc>
      </w:tr>
      <w:tr>
        <w:trPr/>
        <w:tc>
          <w:tcPr>
            <w:tcW w:w="2245" w:type="dxa"/>
            <w:tcBorders/>
          </w:tcPr>
          <w:p>
            <w:pPr>
              <w:pStyle w:val="TableContents"/>
              <w:bidi w:val="0"/>
              <w:spacing w:before="0" w:after="283"/>
              <w:jc w:val="left"/>
              <w:rPr/>
            </w:pPr>
            <w:r>
              <w:rPr/>
              <w:t>Edgardo Hernandez</w:t>
            </w:r>
          </w:p>
        </w:tc>
        <w:tc>
          <w:tcPr>
            <w:tcW w:w="203" w:type="dxa"/>
            <w:tcBorders/>
            <w:vAlign w:val="bottom"/>
          </w:tcPr>
          <w:p>
            <w:pPr>
              <w:pStyle w:val="TableContents"/>
              <w:bidi w:val="0"/>
              <w:spacing w:before="0" w:after="283"/>
              <w:jc w:val="left"/>
              <w:rPr/>
            </w:pPr>
            <w:r>
              <w:rPr/>
              <w:t>  </w:t>
            </w:r>
          </w:p>
        </w:tc>
        <w:tc>
          <w:tcPr>
            <w:tcW w:w="7757" w:type="dxa"/>
            <w:tcBorders/>
          </w:tcPr>
          <w:p>
            <w:pPr>
              <w:pStyle w:val="TableContents"/>
              <w:bidi w:val="0"/>
              <w:spacing w:before="0" w:after="283"/>
              <w:jc w:val="left"/>
              <w:rPr/>
            </w:pPr>
            <w:r>
              <w:rPr/>
              <w:t>Mr. Hernandez has held the role of executive vice president and president of manufacturing operations of Lilly since 2021. Mr. Hernandez has held various leadership roles with Lilly, including as senior vice president of global parenteral drug product, delivery devices and regional manufacturing from 2018 until 2021. Mr. Hernandez was vice president of Fegersheim Operations for Lilly’s manufacturing site located in France from 2016 to 2017.</w:t>
            </w:r>
          </w:p>
        </w:tc>
      </w:tr>
      <w:tr>
        <w:trPr>
          <w:trHeight w:val="120" w:hRule="atLeast"/>
        </w:trPr>
        <w:tc>
          <w:tcPr>
            <w:tcW w:w="2245" w:type="dxa"/>
            <w:tcBorders/>
            <w:vAlign w:val="center"/>
          </w:tcPr>
          <w:p>
            <w:pPr>
              <w:pStyle w:val="TableContents"/>
              <w:bidi w:val="0"/>
              <w:spacing w:before="0" w:after="283"/>
              <w:jc w:val="left"/>
              <w:rPr>
                <w:sz w:val="4"/>
                <w:szCs w:val="4"/>
              </w:rPr>
            </w:pPr>
            <w:r>
              <w:rPr>
                <w:sz w:val="4"/>
                <w:szCs w:val="4"/>
              </w:rPr>
            </w:r>
          </w:p>
        </w:tc>
        <w:tc>
          <w:tcPr>
            <w:tcW w:w="7960" w:type="dxa"/>
            <w:gridSpan w:val="2"/>
            <w:tcBorders/>
            <w:vAlign w:val="center"/>
          </w:tcPr>
          <w:p>
            <w:pPr>
              <w:pStyle w:val="TableContents"/>
              <w:bidi w:val="0"/>
              <w:spacing w:before="0" w:after="283"/>
              <w:jc w:val="left"/>
              <w:rPr>
                <w:sz w:val="4"/>
                <w:szCs w:val="4"/>
              </w:rPr>
            </w:pPr>
            <w:r>
              <w:rPr>
                <w:sz w:val="4"/>
                <w:szCs w:val="4"/>
              </w:rPr>
            </w:r>
          </w:p>
        </w:tc>
      </w:tr>
      <w:tr>
        <w:trPr/>
        <w:tc>
          <w:tcPr>
            <w:tcW w:w="2245" w:type="dxa"/>
            <w:tcBorders/>
          </w:tcPr>
          <w:p>
            <w:pPr>
              <w:pStyle w:val="TableContents"/>
              <w:bidi w:val="0"/>
              <w:spacing w:before="0" w:after="283"/>
              <w:jc w:val="left"/>
              <w:rPr/>
            </w:pPr>
            <w:r>
              <w:rPr/>
              <w:t>Patrik Jonsson</w:t>
            </w:r>
          </w:p>
        </w:tc>
        <w:tc>
          <w:tcPr>
            <w:tcW w:w="203" w:type="dxa"/>
            <w:tcBorders/>
            <w:vAlign w:val="bottom"/>
          </w:tcPr>
          <w:p>
            <w:pPr>
              <w:pStyle w:val="TableContents"/>
              <w:bidi w:val="0"/>
              <w:spacing w:before="0" w:after="283"/>
              <w:jc w:val="left"/>
              <w:rPr/>
            </w:pPr>
            <w:r>
              <w:rPr/>
              <w:t>  </w:t>
            </w:r>
          </w:p>
        </w:tc>
        <w:tc>
          <w:tcPr>
            <w:tcW w:w="7757" w:type="dxa"/>
            <w:tcBorders/>
          </w:tcPr>
          <w:p>
            <w:pPr>
              <w:pStyle w:val="TableContents"/>
              <w:bidi w:val="0"/>
              <w:spacing w:before="0" w:after="283"/>
              <w:jc w:val="left"/>
              <w:rPr/>
            </w:pPr>
            <w:r>
              <w:rPr/>
              <w:t>Mr. Jonsson has held the role of executive vice president and president, Lilly International since 2025. Mr. Jonsson has held various leadership roles with Lilly, including executive vice president and president of Lilly, president of Lilly Cardiometabolic Health and president of Lilly USA from 2024 until assuming his current role as executive vice president and president of Lilly Immunology, president of Lilly USA and chief customer officer from 2021 to 2024. Mr. Jonsson was senior vice president and president of Lilly Bio-Medicines from 2019 to 2020, and president and general manager of Lilly Japan from 2014 to 2019.</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I-4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245"/>
        <w:gridCol w:w="203"/>
        <w:gridCol w:w="7757"/>
      </w:tblGrid>
      <w:tr>
        <w:trPr/>
        <w:tc>
          <w:tcPr>
            <w:tcW w:w="224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7757" w:type="dxa"/>
            <w:tcBorders/>
            <w:vAlign w:val="center"/>
          </w:tcPr>
          <w:p>
            <w:pPr>
              <w:pStyle w:val="TableContents"/>
              <w:bidi w:val="0"/>
              <w:spacing w:before="0" w:after="283"/>
              <w:jc w:val="left"/>
              <w:rPr>
                <w:sz w:val="4"/>
                <w:szCs w:val="4"/>
              </w:rPr>
            </w:pPr>
            <w:r>
              <w:rPr>
                <w:sz w:val="4"/>
                <w:szCs w:val="4"/>
              </w:rPr>
            </w:r>
          </w:p>
        </w:tc>
      </w:tr>
      <w:tr>
        <w:trPr/>
        <w:tc>
          <w:tcPr>
            <w:tcW w:w="224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Position</w:t>
            </w:r>
          </w:p>
        </w:tc>
        <w:tc>
          <w:tcPr>
            <w:tcW w:w="203" w:type="dxa"/>
            <w:tcBorders/>
            <w:vAlign w:val="bottom"/>
          </w:tcPr>
          <w:p>
            <w:pPr>
              <w:pStyle w:val="TableContents"/>
              <w:bidi w:val="0"/>
              <w:spacing w:before="0" w:after="283"/>
              <w:jc w:val="left"/>
              <w:rPr/>
            </w:pPr>
            <w:r>
              <w:rPr/>
              <w:t>  </w:t>
            </w:r>
          </w:p>
        </w:tc>
        <w:tc>
          <w:tcPr>
            <w:tcW w:w="775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Present Principal Occupation or Employment;</w:t>
              <w:br/>
              <w:t>Material Positions Held During the Last Five Years;</w:t>
              <w:br/>
              <w:t>Citizenship (if not United States)</w:t>
            </w:r>
          </w:p>
        </w:tc>
      </w:tr>
      <w:tr>
        <w:trPr>
          <w:trHeight w:val="120" w:hRule="atLeast"/>
        </w:trPr>
        <w:tc>
          <w:tcPr>
            <w:tcW w:w="2245" w:type="dxa"/>
            <w:tcBorders/>
            <w:vAlign w:val="center"/>
          </w:tcPr>
          <w:p>
            <w:pPr>
              <w:pStyle w:val="TableContents"/>
              <w:bidi w:val="0"/>
              <w:spacing w:before="0" w:after="283"/>
              <w:jc w:val="left"/>
              <w:rPr>
                <w:sz w:val="4"/>
                <w:szCs w:val="4"/>
              </w:rPr>
            </w:pPr>
            <w:r>
              <w:rPr>
                <w:sz w:val="4"/>
                <w:szCs w:val="4"/>
              </w:rPr>
            </w:r>
          </w:p>
        </w:tc>
        <w:tc>
          <w:tcPr>
            <w:tcW w:w="7960" w:type="dxa"/>
            <w:gridSpan w:val="2"/>
            <w:tcBorders/>
            <w:vAlign w:val="center"/>
          </w:tcPr>
          <w:p>
            <w:pPr>
              <w:pStyle w:val="TableContents"/>
              <w:bidi w:val="0"/>
              <w:spacing w:before="0" w:after="283"/>
              <w:jc w:val="left"/>
              <w:rPr>
                <w:sz w:val="4"/>
                <w:szCs w:val="4"/>
              </w:rPr>
            </w:pPr>
            <w:r>
              <w:rPr>
                <w:sz w:val="4"/>
                <w:szCs w:val="4"/>
              </w:rPr>
            </w:r>
          </w:p>
        </w:tc>
      </w:tr>
      <w:tr>
        <w:trPr/>
        <w:tc>
          <w:tcPr>
            <w:tcW w:w="2245" w:type="dxa"/>
            <w:tcBorders/>
          </w:tcPr>
          <w:p>
            <w:pPr>
              <w:pStyle w:val="TableContents"/>
              <w:bidi w:val="0"/>
              <w:spacing w:before="0" w:after="283"/>
              <w:jc w:val="left"/>
              <w:rPr/>
            </w:pPr>
            <w:r>
              <w:rPr/>
              <w:t>Lucas Montarce</w:t>
            </w:r>
          </w:p>
        </w:tc>
        <w:tc>
          <w:tcPr>
            <w:tcW w:w="203" w:type="dxa"/>
            <w:tcBorders/>
            <w:vAlign w:val="bottom"/>
          </w:tcPr>
          <w:p>
            <w:pPr>
              <w:pStyle w:val="TableContents"/>
              <w:bidi w:val="0"/>
              <w:spacing w:before="0" w:after="283"/>
              <w:jc w:val="left"/>
              <w:rPr/>
            </w:pPr>
            <w:r>
              <w:rPr/>
              <w:t>  </w:t>
            </w:r>
          </w:p>
        </w:tc>
        <w:tc>
          <w:tcPr>
            <w:tcW w:w="7757" w:type="dxa"/>
            <w:tcBorders/>
          </w:tcPr>
          <w:p>
            <w:pPr>
              <w:pStyle w:val="TableContents"/>
              <w:bidi w:val="0"/>
              <w:spacing w:before="0" w:after="283"/>
              <w:jc w:val="left"/>
              <w:rPr/>
            </w:pPr>
            <w:r>
              <w:rPr/>
              <w:t>Mr. Montarce has held the role of executive vice president and chief financial officer of Lilly since 2024. Mr. Montarce has held various leadership roles with Lilly, including president and general manager for the Spain, Portugal and Greece hubs of Lilly in 2024, vice president, corporate controller and chief financial officer of Lilly Research Laboratories from 2021 to 2024, and senior vice president, finance and chief financial officer of Lilly International from 2018 to 2021.</w:t>
            </w:r>
          </w:p>
        </w:tc>
      </w:tr>
      <w:tr>
        <w:trPr>
          <w:trHeight w:val="120" w:hRule="atLeast"/>
        </w:trPr>
        <w:tc>
          <w:tcPr>
            <w:tcW w:w="2245" w:type="dxa"/>
            <w:tcBorders/>
            <w:vAlign w:val="center"/>
          </w:tcPr>
          <w:p>
            <w:pPr>
              <w:pStyle w:val="TableContents"/>
              <w:bidi w:val="0"/>
              <w:spacing w:before="0" w:after="283"/>
              <w:jc w:val="left"/>
              <w:rPr>
                <w:sz w:val="4"/>
                <w:szCs w:val="4"/>
              </w:rPr>
            </w:pPr>
            <w:r>
              <w:rPr>
                <w:sz w:val="4"/>
                <w:szCs w:val="4"/>
              </w:rPr>
            </w:r>
          </w:p>
        </w:tc>
        <w:tc>
          <w:tcPr>
            <w:tcW w:w="7960" w:type="dxa"/>
            <w:gridSpan w:val="2"/>
            <w:tcBorders/>
            <w:vAlign w:val="center"/>
          </w:tcPr>
          <w:p>
            <w:pPr>
              <w:pStyle w:val="TableContents"/>
              <w:bidi w:val="0"/>
              <w:spacing w:before="0" w:after="283"/>
              <w:jc w:val="left"/>
              <w:rPr>
                <w:sz w:val="4"/>
                <w:szCs w:val="4"/>
              </w:rPr>
            </w:pPr>
            <w:r>
              <w:rPr>
                <w:sz w:val="4"/>
                <w:szCs w:val="4"/>
              </w:rPr>
            </w:r>
          </w:p>
        </w:tc>
      </w:tr>
      <w:tr>
        <w:trPr/>
        <w:tc>
          <w:tcPr>
            <w:tcW w:w="2245" w:type="dxa"/>
            <w:tcBorders/>
          </w:tcPr>
          <w:p>
            <w:pPr>
              <w:pStyle w:val="TableContents"/>
              <w:bidi w:val="0"/>
              <w:spacing w:before="0" w:after="283"/>
              <w:jc w:val="left"/>
              <w:rPr/>
            </w:pPr>
            <w:r>
              <w:rPr/>
              <w:t>Diogo Rau</w:t>
            </w:r>
          </w:p>
        </w:tc>
        <w:tc>
          <w:tcPr>
            <w:tcW w:w="203" w:type="dxa"/>
            <w:tcBorders/>
            <w:vAlign w:val="bottom"/>
          </w:tcPr>
          <w:p>
            <w:pPr>
              <w:pStyle w:val="TableContents"/>
              <w:bidi w:val="0"/>
              <w:spacing w:before="0" w:after="283"/>
              <w:jc w:val="left"/>
              <w:rPr/>
            </w:pPr>
            <w:r>
              <w:rPr/>
              <w:t>  </w:t>
            </w:r>
          </w:p>
        </w:tc>
        <w:tc>
          <w:tcPr>
            <w:tcW w:w="7757" w:type="dxa"/>
            <w:tcBorders/>
          </w:tcPr>
          <w:p>
            <w:pPr>
              <w:pStyle w:val="TableContents"/>
              <w:bidi w:val="0"/>
              <w:spacing w:before="0" w:after="283"/>
              <w:jc w:val="left"/>
              <w:rPr/>
            </w:pPr>
            <w:r>
              <w:rPr/>
              <w:t>Mr. Rau has held the role of executive vice president and chief information and digital officer of Lilly since 2021. Prior to joining Lilly, Mr. Rau was senior director of information systems and technology for retail and online stores of Apple Inc. from 2011 to 2021.</w:t>
            </w:r>
          </w:p>
        </w:tc>
      </w:tr>
      <w:tr>
        <w:trPr>
          <w:trHeight w:val="120" w:hRule="atLeast"/>
        </w:trPr>
        <w:tc>
          <w:tcPr>
            <w:tcW w:w="2245" w:type="dxa"/>
            <w:tcBorders/>
            <w:vAlign w:val="center"/>
          </w:tcPr>
          <w:p>
            <w:pPr>
              <w:pStyle w:val="TableContents"/>
              <w:bidi w:val="0"/>
              <w:spacing w:before="0" w:after="283"/>
              <w:jc w:val="left"/>
              <w:rPr>
                <w:sz w:val="4"/>
                <w:szCs w:val="4"/>
              </w:rPr>
            </w:pPr>
            <w:r>
              <w:rPr>
                <w:sz w:val="4"/>
                <w:szCs w:val="4"/>
              </w:rPr>
            </w:r>
          </w:p>
        </w:tc>
        <w:tc>
          <w:tcPr>
            <w:tcW w:w="7960" w:type="dxa"/>
            <w:gridSpan w:val="2"/>
            <w:tcBorders/>
            <w:vAlign w:val="center"/>
          </w:tcPr>
          <w:p>
            <w:pPr>
              <w:pStyle w:val="TableContents"/>
              <w:bidi w:val="0"/>
              <w:spacing w:before="0" w:after="283"/>
              <w:jc w:val="left"/>
              <w:rPr>
                <w:sz w:val="4"/>
                <w:szCs w:val="4"/>
              </w:rPr>
            </w:pPr>
            <w:r>
              <w:rPr>
                <w:sz w:val="4"/>
                <w:szCs w:val="4"/>
              </w:rPr>
            </w:r>
          </w:p>
        </w:tc>
      </w:tr>
      <w:tr>
        <w:trPr/>
        <w:tc>
          <w:tcPr>
            <w:tcW w:w="2245" w:type="dxa"/>
            <w:tcBorders/>
          </w:tcPr>
          <w:p>
            <w:pPr>
              <w:pStyle w:val="TableContents"/>
              <w:bidi w:val="0"/>
              <w:spacing w:before="0" w:after="283"/>
              <w:jc w:val="left"/>
              <w:rPr/>
            </w:pPr>
            <w:r>
              <w:rPr/>
              <w:t>Melissa S. Seymour</w:t>
            </w:r>
          </w:p>
        </w:tc>
        <w:tc>
          <w:tcPr>
            <w:tcW w:w="203" w:type="dxa"/>
            <w:tcBorders/>
            <w:vAlign w:val="bottom"/>
          </w:tcPr>
          <w:p>
            <w:pPr>
              <w:pStyle w:val="TableContents"/>
              <w:bidi w:val="0"/>
              <w:spacing w:before="0" w:after="283"/>
              <w:jc w:val="left"/>
              <w:rPr/>
            </w:pPr>
            <w:r>
              <w:rPr/>
              <w:t>  </w:t>
            </w:r>
          </w:p>
        </w:tc>
        <w:tc>
          <w:tcPr>
            <w:tcW w:w="7757" w:type="dxa"/>
            <w:tcBorders/>
          </w:tcPr>
          <w:p>
            <w:pPr>
              <w:pStyle w:val="TableContents"/>
              <w:bidi w:val="0"/>
              <w:spacing w:before="0" w:after="283"/>
              <w:jc w:val="left"/>
              <w:rPr/>
            </w:pPr>
            <w:r>
              <w:rPr/>
              <w:t>Ms. Seymour has served as executive vice president, global quality of Lilly since 2024. Prior to joining Lilly, Ms. Seymour served as chief quality officer at Bristol Myers Squibb from 2022 to 2024. Ms. Seymour also previously served as chief quality officer at Biogen from 2021 to 2022 and as vice president, global quality control from 2015 to 2021.</w:t>
            </w:r>
          </w:p>
        </w:tc>
      </w:tr>
      <w:tr>
        <w:trPr>
          <w:trHeight w:val="120" w:hRule="atLeast"/>
        </w:trPr>
        <w:tc>
          <w:tcPr>
            <w:tcW w:w="2245" w:type="dxa"/>
            <w:tcBorders/>
            <w:vAlign w:val="center"/>
          </w:tcPr>
          <w:p>
            <w:pPr>
              <w:pStyle w:val="TableContents"/>
              <w:bidi w:val="0"/>
              <w:spacing w:before="0" w:after="283"/>
              <w:jc w:val="left"/>
              <w:rPr>
                <w:sz w:val="4"/>
                <w:szCs w:val="4"/>
              </w:rPr>
            </w:pPr>
            <w:r>
              <w:rPr>
                <w:sz w:val="4"/>
                <w:szCs w:val="4"/>
              </w:rPr>
            </w:r>
          </w:p>
        </w:tc>
        <w:tc>
          <w:tcPr>
            <w:tcW w:w="7960" w:type="dxa"/>
            <w:gridSpan w:val="2"/>
            <w:tcBorders/>
            <w:vAlign w:val="center"/>
          </w:tcPr>
          <w:p>
            <w:pPr>
              <w:pStyle w:val="TableContents"/>
              <w:bidi w:val="0"/>
              <w:spacing w:before="0" w:after="283"/>
              <w:jc w:val="left"/>
              <w:rPr>
                <w:sz w:val="4"/>
                <w:szCs w:val="4"/>
              </w:rPr>
            </w:pPr>
            <w:r>
              <w:rPr>
                <w:sz w:val="4"/>
                <w:szCs w:val="4"/>
              </w:rPr>
            </w:r>
          </w:p>
        </w:tc>
      </w:tr>
      <w:tr>
        <w:trPr/>
        <w:tc>
          <w:tcPr>
            <w:tcW w:w="2245" w:type="dxa"/>
            <w:tcBorders/>
          </w:tcPr>
          <w:p>
            <w:pPr>
              <w:pStyle w:val="TableContents"/>
              <w:bidi w:val="0"/>
              <w:spacing w:before="0" w:after="283"/>
              <w:jc w:val="left"/>
              <w:rPr/>
            </w:pPr>
            <w:r>
              <w:rPr/>
              <w:t>Daniel M. Skovronsky, M.D., Ph.D.</w:t>
            </w:r>
          </w:p>
        </w:tc>
        <w:tc>
          <w:tcPr>
            <w:tcW w:w="203" w:type="dxa"/>
            <w:tcBorders/>
            <w:vAlign w:val="bottom"/>
          </w:tcPr>
          <w:p>
            <w:pPr>
              <w:pStyle w:val="TableContents"/>
              <w:bidi w:val="0"/>
              <w:spacing w:before="0" w:after="283"/>
              <w:jc w:val="left"/>
              <w:rPr/>
            </w:pPr>
            <w:r>
              <w:rPr/>
              <w:t>  </w:t>
            </w:r>
          </w:p>
        </w:tc>
        <w:tc>
          <w:tcPr>
            <w:tcW w:w="7757" w:type="dxa"/>
            <w:tcBorders/>
          </w:tcPr>
          <w:p>
            <w:pPr>
              <w:pStyle w:val="TableContents"/>
              <w:bidi w:val="0"/>
              <w:spacing w:before="0" w:after="283"/>
              <w:jc w:val="left"/>
              <w:rPr/>
            </w:pPr>
            <w:r>
              <w:rPr/>
              <w:t>Dr. Skovronsky has held the role of chief scientific and product officer, and president, Lilly Research Laboratories since November 2025. Dr. Skovronsky has held various leadership roles with Lilly, including executive vice president, chief scientific officer and president of Lilly Research Laboratories and Lilly Immunology from 2024 to November 2025, executive vice president, chief scientific and medical officer, and president of Lilly Research Laboratories from 2018 to 2024 and, previously, as senior vice president, clinical and product development.</w:t>
            </w:r>
          </w:p>
        </w:tc>
      </w:tr>
      <w:tr>
        <w:trPr>
          <w:trHeight w:val="120" w:hRule="atLeast"/>
        </w:trPr>
        <w:tc>
          <w:tcPr>
            <w:tcW w:w="2245" w:type="dxa"/>
            <w:tcBorders/>
            <w:vAlign w:val="center"/>
          </w:tcPr>
          <w:p>
            <w:pPr>
              <w:pStyle w:val="TableContents"/>
              <w:bidi w:val="0"/>
              <w:spacing w:before="0" w:after="283"/>
              <w:jc w:val="left"/>
              <w:rPr>
                <w:sz w:val="4"/>
                <w:szCs w:val="4"/>
              </w:rPr>
            </w:pPr>
            <w:r>
              <w:rPr>
                <w:sz w:val="4"/>
                <w:szCs w:val="4"/>
              </w:rPr>
            </w:r>
          </w:p>
        </w:tc>
        <w:tc>
          <w:tcPr>
            <w:tcW w:w="7960" w:type="dxa"/>
            <w:gridSpan w:val="2"/>
            <w:tcBorders/>
            <w:vAlign w:val="center"/>
          </w:tcPr>
          <w:p>
            <w:pPr>
              <w:pStyle w:val="TableContents"/>
              <w:bidi w:val="0"/>
              <w:spacing w:before="0" w:after="283"/>
              <w:jc w:val="left"/>
              <w:rPr>
                <w:sz w:val="4"/>
                <w:szCs w:val="4"/>
              </w:rPr>
            </w:pPr>
            <w:r>
              <w:rPr>
                <w:sz w:val="4"/>
                <w:szCs w:val="4"/>
              </w:rPr>
            </w:r>
          </w:p>
        </w:tc>
      </w:tr>
      <w:tr>
        <w:trPr/>
        <w:tc>
          <w:tcPr>
            <w:tcW w:w="2245" w:type="dxa"/>
            <w:tcBorders/>
          </w:tcPr>
          <w:p>
            <w:pPr>
              <w:pStyle w:val="TableContents"/>
              <w:bidi w:val="0"/>
              <w:spacing w:before="0" w:after="283"/>
              <w:jc w:val="left"/>
              <w:rPr/>
            </w:pPr>
            <w:r>
              <w:rPr/>
              <w:t>Jacob Van Naarden</w:t>
            </w:r>
          </w:p>
        </w:tc>
        <w:tc>
          <w:tcPr>
            <w:tcW w:w="203" w:type="dxa"/>
            <w:tcBorders/>
            <w:vAlign w:val="bottom"/>
          </w:tcPr>
          <w:p>
            <w:pPr>
              <w:pStyle w:val="TableContents"/>
              <w:bidi w:val="0"/>
              <w:spacing w:before="0" w:after="283"/>
              <w:jc w:val="left"/>
              <w:rPr/>
            </w:pPr>
            <w:r>
              <w:rPr/>
              <w:t>  </w:t>
            </w:r>
          </w:p>
        </w:tc>
        <w:tc>
          <w:tcPr>
            <w:tcW w:w="7757" w:type="dxa"/>
            <w:tcBorders/>
          </w:tcPr>
          <w:p>
            <w:pPr>
              <w:pStyle w:val="TableContents"/>
              <w:bidi w:val="0"/>
              <w:spacing w:before="0" w:after="283"/>
              <w:jc w:val="left"/>
              <w:rPr/>
            </w:pPr>
            <w:r>
              <w:rPr/>
              <w:t>Mr. Van Naarden has held the role of executive vice president and president of Lilly Oncology since 2021. Previously, Mr. Van Naarden served as chief executive officer of Loxo Oncology at Lilly in 2021 and chief operating officer of Loxo Oncology at Lilly from 2019 to 2021. Mr. Van Naarden joined Lilly in 2019 when Lilly acquired Loxo Oncology, Inc., where he was the chief operating officer.</w:t>
            </w:r>
          </w:p>
        </w:tc>
      </w:tr>
      <w:tr>
        <w:trPr>
          <w:trHeight w:val="120" w:hRule="atLeast"/>
        </w:trPr>
        <w:tc>
          <w:tcPr>
            <w:tcW w:w="2245" w:type="dxa"/>
            <w:tcBorders/>
            <w:vAlign w:val="center"/>
          </w:tcPr>
          <w:p>
            <w:pPr>
              <w:pStyle w:val="TableContents"/>
              <w:bidi w:val="0"/>
              <w:spacing w:before="0" w:after="283"/>
              <w:jc w:val="left"/>
              <w:rPr>
                <w:sz w:val="4"/>
                <w:szCs w:val="4"/>
              </w:rPr>
            </w:pPr>
            <w:r>
              <w:rPr>
                <w:sz w:val="4"/>
                <w:szCs w:val="4"/>
              </w:rPr>
            </w:r>
          </w:p>
        </w:tc>
        <w:tc>
          <w:tcPr>
            <w:tcW w:w="7960" w:type="dxa"/>
            <w:gridSpan w:val="2"/>
            <w:tcBorders/>
            <w:vAlign w:val="center"/>
          </w:tcPr>
          <w:p>
            <w:pPr>
              <w:pStyle w:val="TableContents"/>
              <w:bidi w:val="0"/>
              <w:spacing w:before="0" w:after="283"/>
              <w:jc w:val="left"/>
              <w:rPr>
                <w:sz w:val="4"/>
                <w:szCs w:val="4"/>
              </w:rPr>
            </w:pPr>
            <w:r>
              <w:rPr>
                <w:sz w:val="4"/>
                <w:szCs w:val="4"/>
              </w:rPr>
            </w:r>
          </w:p>
        </w:tc>
      </w:tr>
      <w:tr>
        <w:trPr/>
        <w:tc>
          <w:tcPr>
            <w:tcW w:w="2245" w:type="dxa"/>
            <w:tcBorders/>
          </w:tcPr>
          <w:p>
            <w:pPr>
              <w:pStyle w:val="TableContents"/>
              <w:bidi w:val="0"/>
              <w:spacing w:before="0" w:after="283"/>
              <w:jc w:val="left"/>
              <w:rPr/>
            </w:pPr>
            <w:r>
              <w:rPr/>
              <w:t>Anne E. White</w:t>
            </w:r>
          </w:p>
        </w:tc>
        <w:tc>
          <w:tcPr>
            <w:tcW w:w="203" w:type="dxa"/>
            <w:tcBorders/>
            <w:vAlign w:val="bottom"/>
          </w:tcPr>
          <w:p>
            <w:pPr>
              <w:pStyle w:val="TableContents"/>
              <w:bidi w:val="0"/>
              <w:spacing w:before="0" w:after="283"/>
              <w:jc w:val="left"/>
              <w:rPr/>
            </w:pPr>
            <w:r>
              <w:rPr/>
              <w:t>  </w:t>
            </w:r>
          </w:p>
        </w:tc>
        <w:tc>
          <w:tcPr>
            <w:tcW w:w="7757" w:type="dxa"/>
            <w:tcBorders/>
          </w:tcPr>
          <w:p>
            <w:pPr>
              <w:pStyle w:val="TableContents"/>
              <w:bidi w:val="0"/>
              <w:spacing w:before="0" w:after="283"/>
              <w:jc w:val="left"/>
              <w:rPr/>
            </w:pPr>
            <w:r>
              <w:rPr/>
              <w:t>Ms. White has held the role of executive vice president of Lilly and president of Lilly Neuroscience since 2021. Since joining Lilly in 1991, Ms. White has held various leadership roles at Lilly, including senior vice president and president of Lilly Oncology from 2018 to 2021.</w:t>
            </w:r>
          </w:p>
        </w:tc>
      </w:tr>
      <w:tr>
        <w:trPr>
          <w:trHeight w:val="120" w:hRule="atLeast"/>
        </w:trPr>
        <w:tc>
          <w:tcPr>
            <w:tcW w:w="2245" w:type="dxa"/>
            <w:tcBorders/>
            <w:vAlign w:val="center"/>
          </w:tcPr>
          <w:p>
            <w:pPr>
              <w:pStyle w:val="TableContents"/>
              <w:bidi w:val="0"/>
              <w:spacing w:before="0" w:after="283"/>
              <w:jc w:val="left"/>
              <w:rPr>
                <w:sz w:val="4"/>
                <w:szCs w:val="4"/>
              </w:rPr>
            </w:pPr>
            <w:r>
              <w:rPr>
                <w:sz w:val="4"/>
                <w:szCs w:val="4"/>
              </w:rPr>
            </w:r>
          </w:p>
        </w:tc>
        <w:tc>
          <w:tcPr>
            <w:tcW w:w="7960" w:type="dxa"/>
            <w:gridSpan w:val="2"/>
            <w:tcBorders/>
            <w:vAlign w:val="center"/>
          </w:tcPr>
          <w:p>
            <w:pPr>
              <w:pStyle w:val="TableContents"/>
              <w:bidi w:val="0"/>
              <w:spacing w:before="0" w:after="283"/>
              <w:jc w:val="left"/>
              <w:rPr>
                <w:sz w:val="4"/>
                <w:szCs w:val="4"/>
              </w:rPr>
            </w:pPr>
            <w:r>
              <w:rPr>
                <w:sz w:val="4"/>
                <w:szCs w:val="4"/>
              </w:rPr>
            </w:r>
          </w:p>
        </w:tc>
      </w:tr>
      <w:tr>
        <w:trPr/>
        <w:tc>
          <w:tcPr>
            <w:tcW w:w="2245" w:type="dxa"/>
            <w:tcBorders/>
          </w:tcPr>
          <w:p>
            <w:pPr>
              <w:pStyle w:val="TableContents"/>
              <w:bidi w:val="0"/>
              <w:spacing w:before="0" w:after="283"/>
              <w:jc w:val="left"/>
              <w:rPr/>
            </w:pPr>
            <w:r>
              <w:rPr/>
              <w:t>Ilya Yuffa</w:t>
            </w:r>
          </w:p>
        </w:tc>
        <w:tc>
          <w:tcPr>
            <w:tcW w:w="203" w:type="dxa"/>
            <w:tcBorders/>
            <w:vAlign w:val="bottom"/>
          </w:tcPr>
          <w:p>
            <w:pPr>
              <w:pStyle w:val="TableContents"/>
              <w:bidi w:val="0"/>
              <w:spacing w:before="0" w:after="283"/>
              <w:jc w:val="left"/>
              <w:rPr/>
            </w:pPr>
            <w:r>
              <w:rPr/>
              <w:t>  </w:t>
            </w:r>
          </w:p>
        </w:tc>
        <w:tc>
          <w:tcPr>
            <w:tcW w:w="7757" w:type="dxa"/>
            <w:tcBorders/>
          </w:tcPr>
          <w:p>
            <w:pPr>
              <w:pStyle w:val="TableContents"/>
              <w:bidi w:val="0"/>
              <w:spacing w:before="0" w:after="283"/>
              <w:jc w:val="left"/>
              <w:rPr/>
            </w:pPr>
            <w:r>
              <w:rPr/>
              <w:t>Mr. Yuffa has held the role of executive vice president and president, Lilly USA and global customer capabilities since June 2025. Mr. Yuffa has held various leadership roles with Lilly including executive vice president and president of Lilly International from 2021 until assuming his current role. Mr. Yuffa has held various leadership roles with Lilly, including senior vice president of Lilly Bio-Medicines from 2020 to 2021. Mr. Yuffa was vice president of U.S. Diabetes from 2018 to 2020 and president and general manager of Lilly’s Italy Hub from 2017 to 2018.</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Letter of Transmittal and certificates evidencing Shares and any other required documents should be sent by each holder or such holder’s broker, dealer, commercial bank, trust company or other nominee to the Depositary at one of its addresses set forth below: </w:t>
      </w:r>
    </w:p>
    <w:p>
      <w:pPr>
        <w:pStyle w:val="TextBody"/>
        <w:bidi w:val="0"/>
        <w:spacing w:before="240" w:after="0"/>
        <w:jc w:val="center"/>
        <w:rPr>
          <w:rFonts w:ascii="Times New Roman" w:hAnsi="Times New Roman"/>
          <w:i/>
          <w:sz w:val="20"/>
        </w:rPr>
      </w:pPr>
      <w:r>
        <w:rPr>
          <w:rFonts w:ascii="Times New Roman" w:hAnsi="Times New Roman"/>
          <w:i/>
          <w:sz w:val="20"/>
        </w:rPr>
        <w:t xml:space="preserve">The Depositary for the Offer is: </w:t>
      </w:r>
    </w:p>
    <w:p>
      <w:pPr>
        <w:pStyle w:val="TextBody"/>
        <w:bidi w:val="0"/>
        <w:spacing w:before="0" w:after="0"/>
        <w:jc w:val="left"/>
        <w:rPr/>
      </w:pPr>
      <w:r>
        <w:rPr/>
        <w:t> </w:t>
      </w:r>
    </w:p>
    <w:p>
      <w:pPr>
        <w:pStyle w:val="TextBody"/>
        <w:bidi w:val="0"/>
        <w:spacing w:before="0" w:after="0"/>
        <w:jc w:val="center"/>
        <w:rPr/>
      </w:pPr>
      <w:r>
        <w:rPr/>
        <w:drawing>
          <wp:inline distT="0" distB="0" distL="0" distR="0">
            <wp:extent cx="1673225" cy="32766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7"/>
                    <a:stretch>
                      <a:fillRect/>
                    </a:stretch>
                  </pic:blipFill>
                  <pic:spPr bwMode="auto">
                    <a:xfrm>
                      <a:off x="0" y="0"/>
                      <a:ext cx="1673225" cy="32766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vAlign w:val="bottom"/>
          </w:tcPr>
          <w:p>
            <w:pPr>
              <w:pStyle w:val="TableContents"/>
              <w:bidi w:val="0"/>
              <w:spacing w:before="0" w:after="283"/>
              <w:jc w:val="center"/>
              <w:rPr/>
            </w:pPr>
            <w:r>
              <w:rPr/>
              <w:t>If delivering by mail:</w:t>
            </w:r>
          </w:p>
        </w:tc>
        <w:tc>
          <w:tcPr>
            <w:tcW w:w="103"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pPr>
            <w:r>
              <w:rPr/>
              <w:t>If delivering by express mail, courier or any other expedited service:</w:t>
            </w:r>
          </w:p>
        </w:tc>
      </w:tr>
      <w:tr>
        <w:trPr>
          <w:trHeight w:val="240" w:hRule="atLeast"/>
        </w:trPr>
        <w:tc>
          <w:tcPr>
            <w:tcW w:w="5153" w:type="dxa"/>
            <w:tcBorders/>
            <w:vAlign w:val="center"/>
          </w:tcPr>
          <w:p>
            <w:pPr>
              <w:pStyle w:val="TableContents"/>
              <w:bidi w:val="0"/>
              <w:spacing w:before="0" w:after="283"/>
              <w:jc w:val="left"/>
              <w:rPr>
                <w:sz w:val="4"/>
                <w:szCs w:val="4"/>
              </w:rPr>
            </w:pPr>
            <w:r>
              <w:rPr>
                <w:sz w:val="4"/>
                <w:szCs w:val="4"/>
              </w:rPr>
            </w:r>
          </w:p>
        </w:tc>
        <w:tc>
          <w:tcPr>
            <w:tcW w:w="5052" w:type="dxa"/>
            <w:gridSpan w:val="2"/>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pPr>
            <w:r>
              <w:rPr/>
              <w:t>Computershare</w:t>
              <w:br/>
              <w:t>c/o Voluntary Corporate Actions</w:t>
              <w:br/>
              <w:t>P.O. Box 43011</w:t>
              <w:br/>
              <w:t>Providence, Rhode Island 02940-3011</w:t>
            </w:r>
          </w:p>
        </w:tc>
        <w:tc>
          <w:tcPr>
            <w:tcW w:w="103"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Computershare</w:t>
              <w:br/>
              <w:t>c/o Voluntary Corporate Actions</w:t>
            </w:r>
          </w:p>
          <w:p>
            <w:pPr>
              <w:pStyle w:val="TableContents"/>
              <w:bidi w:val="0"/>
              <w:spacing w:before="0" w:after="20"/>
              <w:jc w:val="center"/>
              <w:rPr>
                <w:rFonts w:ascii="Times New Roman" w:hAnsi="Times New Roman"/>
                <w:sz w:val="20"/>
              </w:rPr>
            </w:pPr>
            <w:r>
              <w:rPr>
                <w:rFonts w:ascii="Times New Roman" w:hAnsi="Times New Roman"/>
                <w:sz w:val="20"/>
              </w:rPr>
              <w:t>Suite V</w:t>
              <w:br/>
              <w:t>150 Royall Street</w:t>
              <w:br/>
              <w:t>Canton, Massachusetts 02021</w:t>
            </w:r>
          </w:p>
        </w:tc>
      </w:tr>
    </w:tbl>
    <w:p>
      <w:pPr>
        <w:pStyle w:val="TextBody"/>
        <w:bidi w:val="0"/>
        <w:spacing w:before="240" w:after="0"/>
        <w:jc w:val="left"/>
        <w:rPr>
          <w:rFonts w:ascii="Times New Roman" w:hAnsi="Times New Roman"/>
          <w:sz w:val="20"/>
        </w:rPr>
      </w:pPr>
      <w:r>
        <w:rPr>
          <w:rFonts w:ascii="Times New Roman" w:hAnsi="Times New Roman"/>
          <w:sz w:val="20"/>
        </w:rPr>
        <w:t xml:space="preserve">Questions or requests for assistance may be directed to the Information Agent at the address and telephone numbers listed below. Additional copies of this Offer to Purchase, the related Letter of Transmittal and other materials related to the Offer may be obtained at no cost to stockholders from the Information Agent. Additionally, copies of this Offer to Purchase, the related Letter of Transmittal and any other materials related to the Offer are available free of charge at www.sec.gov. Stockholders may also contact their brokers, dealers, commercial banks, trust companies or other nominees for assistance. </w:t>
      </w:r>
    </w:p>
    <w:p>
      <w:pPr>
        <w:pStyle w:val="TextBody"/>
        <w:bidi w:val="0"/>
        <w:spacing w:before="240" w:after="0"/>
        <w:jc w:val="center"/>
        <w:rPr>
          <w:rFonts w:ascii="Times New Roman" w:hAnsi="Times New Roman"/>
          <w:i/>
          <w:sz w:val="20"/>
        </w:rPr>
      </w:pPr>
      <w:r>
        <w:rPr>
          <w:rFonts w:ascii="Times New Roman" w:hAnsi="Times New Roman"/>
          <w:i/>
          <w:sz w:val="20"/>
        </w:rPr>
        <w:t xml:space="preserve">The Information Agent for the Offer is: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023745" cy="70294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8"/>
                    <a:stretch>
                      <a:fillRect/>
                    </a:stretch>
                  </pic:blipFill>
                  <pic:spPr bwMode="auto">
                    <a:xfrm>
                      <a:off x="0" y="0"/>
                      <a:ext cx="2023745" cy="70294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Georgeson LLC </w:t>
      </w:r>
    </w:p>
    <w:p>
      <w:pPr>
        <w:pStyle w:val="TextBody"/>
        <w:bidi w:val="0"/>
        <w:spacing w:before="0" w:after="0"/>
        <w:jc w:val="center"/>
        <w:rPr>
          <w:rFonts w:ascii="Times New Roman" w:hAnsi="Times New Roman"/>
          <w:b/>
          <w:sz w:val="20"/>
        </w:rPr>
      </w:pPr>
      <w:r>
        <w:rPr>
          <w:rFonts w:ascii="Times New Roman" w:hAnsi="Times New Roman"/>
          <w:b/>
          <w:sz w:val="20"/>
        </w:rPr>
        <w:t xml:space="preserve">51 West 52nd Street, 6th Floor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NY 10019 </w:t>
      </w:r>
    </w:p>
    <w:p>
      <w:pPr>
        <w:pStyle w:val="TextBody"/>
        <w:bidi w:val="0"/>
        <w:spacing w:before="0" w:after="0"/>
        <w:jc w:val="center"/>
        <w:rPr>
          <w:rFonts w:ascii="Times New Roman" w:hAnsi="Times New Roman"/>
          <w:b/>
          <w:sz w:val="20"/>
        </w:rPr>
      </w:pPr>
      <w:r>
        <w:rPr>
          <w:rFonts w:ascii="Times New Roman" w:hAnsi="Times New Roman"/>
          <w:b/>
          <w:sz w:val="20"/>
        </w:rPr>
        <w:t xml:space="preserve">Shareholders, Banks and Brokers </w:t>
      </w:r>
    </w:p>
    <w:p>
      <w:pPr>
        <w:pStyle w:val="TextBody"/>
        <w:bidi w:val="0"/>
        <w:spacing w:before="0" w:after="0"/>
        <w:jc w:val="center"/>
        <w:rPr>
          <w:rFonts w:ascii="Times New Roman" w:hAnsi="Times New Roman"/>
          <w:b/>
          <w:sz w:val="20"/>
        </w:rPr>
      </w:pPr>
      <w:r>
        <w:rPr>
          <w:rFonts w:ascii="Times New Roman" w:hAnsi="Times New Roman"/>
          <w:b/>
          <w:sz w:val="20"/>
        </w:rPr>
        <w:t xml:space="preserve">Toll Free: (888) 446-9207 </w:t>
      </w:r>
    </w:p>
    <w:p>
      <w:pPr>
        <w:pStyle w:val="TextBody"/>
        <w:bidi w:val="0"/>
        <w:spacing w:before="0" w:after="0"/>
        <w:jc w:val="center"/>
        <w:rPr>
          <w:rFonts w:ascii="Times New Roman" w:hAnsi="Times New Roman"/>
          <w:b/>
          <w:sz w:val="20"/>
        </w:rPr>
      </w:pPr>
      <w:r>
        <w:rPr>
          <w:rFonts w:ascii="Times New Roman" w:hAnsi="Times New Roman"/>
          <w:b/>
          <w:sz w:val="20"/>
        </w:rPr>
        <w:t xml:space="preserve">Outside the U.S. and Canada: (862) 243-7027 </w:t>
      </w:r>
    </w:p>
    <w:p>
      <w:pPr>
        <w:pStyle w:val="TextBody"/>
        <w:bidi w:val="0"/>
        <w:spacing w:before="0" w:after="0"/>
        <w:jc w:val="center"/>
        <w:rPr>
          <w:rFonts w:ascii="Times New Roman" w:hAnsi="Times New Roman"/>
          <w:b/>
          <w:sz w:val="20"/>
        </w:rPr>
      </w:pPr>
      <w:r>
        <w:rPr>
          <w:rFonts w:ascii="Times New Roman" w:hAnsi="Times New Roman"/>
          <w:b/>
          <w:sz w:val="20"/>
        </w:rPr>
        <w:t xml:space="preserve">Email: Adverumoffer@georgeson.com </w:t>
      </w:r>
    </w:p>
    <w:p>
      <w:pPr>
        <w:pStyle w:val="TextBody"/>
        <w:bidi w:val="0"/>
        <w:spacing w:before="0" w:after="0"/>
        <w:jc w:val="right"/>
        <w:rPr>
          <w:rFonts w:ascii="Times New Roman" w:hAnsi="Times New Roman"/>
          <w:b/>
          <w:sz w:val="20"/>
        </w:rPr>
      </w:pPr>
      <w:bookmarkStart w:id="27" w:name="d67752dex99a1b.htm"/>
      <w:bookmarkStart w:id="28" w:name="ksd67752dex99a1b"/>
      <w:bookmarkEnd w:id="27"/>
      <w:bookmarkEnd w:id="28"/>
      <w:r>
        <w:rPr>
          <w:rFonts w:ascii="Times New Roman" w:hAnsi="Times New Roman"/>
          <w:b/>
          <w:sz w:val="20"/>
        </w:rPr>
        <w:t xml:space="preserve">Exhibit (a)(1)(B)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LETTER OF TRANSMITTAL </w:t>
      </w:r>
    </w:p>
    <w:p>
      <w:pPr>
        <w:pStyle w:val="TextBody"/>
        <w:bidi w:val="0"/>
        <w:spacing w:before="240" w:after="0"/>
        <w:jc w:val="center"/>
        <w:rPr>
          <w:rFonts w:ascii="Times New Roman" w:hAnsi="Times New Roman"/>
          <w:b/>
          <w:sz w:val="20"/>
        </w:rPr>
      </w:pPr>
      <w:r>
        <w:rPr>
          <w:rFonts w:ascii="Times New Roman" w:hAnsi="Times New Roman"/>
          <w:b/>
          <w:sz w:val="20"/>
        </w:rPr>
        <w:t xml:space="preserve">to Tender Shares of Common Stock </w:t>
      </w:r>
    </w:p>
    <w:p>
      <w:pPr>
        <w:pStyle w:val="TextBody"/>
        <w:bidi w:val="0"/>
        <w:spacing w:before="240" w:after="0"/>
        <w:jc w:val="center"/>
        <w:rPr>
          <w:rFonts w:ascii="Times New Roman" w:hAnsi="Times New Roman"/>
          <w:b/>
          <w:sz w:val="20"/>
        </w:rPr>
      </w:pPr>
      <w:r>
        <w:rPr>
          <w:rFonts w:ascii="Times New Roman" w:hAnsi="Times New Roman"/>
          <w:b/>
          <w:sz w:val="20"/>
        </w:rPr>
        <w:t xml:space="preserve">of </w:t>
      </w:r>
    </w:p>
    <w:p>
      <w:pPr>
        <w:pStyle w:val="TextBody"/>
        <w:bidi w:val="0"/>
        <w:spacing w:before="240" w:after="0"/>
        <w:jc w:val="center"/>
        <w:rPr>
          <w:rFonts w:ascii="Times New Roman" w:hAnsi="Times New Roman"/>
          <w:b/>
          <w:sz w:val="20"/>
        </w:rPr>
      </w:pPr>
      <w:r>
        <w:rPr>
          <w:rFonts w:ascii="Times New Roman" w:hAnsi="Times New Roman"/>
          <w:b/>
          <w:sz w:val="20"/>
        </w:rPr>
        <w:t xml:space="preserve">ADVERUM BIOTECHNOLOGIES, INC. </w:t>
      </w:r>
    </w:p>
    <w:p>
      <w:pPr>
        <w:pStyle w:val="TextBody"/>
        <w:bidi w:val="0"/>
        <w:spacing w:before="240" w:after="0"/>
        <w:jc w:val="center"/>
        <w:rPr>
          <w:rFonts w:ascii="Times New Roman" w:hAnsi="Times New Roman"/>
          <w:b/>
          <w:sz w:val="20"/>
        </w:rPr>
      </w:pPr>
      <w:r>
        <w:rPr>
          <w:rFonts w:ascii="Times New Roman" w:hAnsi="Times New Roman"/>
          <w:b/>
          <w:sz w:val="20"/>
        </w:rPr>
        <w:t xml:space="preserve">at </w:t>
      </w:r>
    </w:p>
    <w:p>
      <w:pPr>
        <w:pStyle w:val="TextBody"/>
        <w:bidi w:val="0"/>
        <w:spacing w:before="240" w:after="0"/>
        <w:jc w:val="center"/>
        <w:rPr>
          <w:rFonts w:ascii="Times New Roman" w:hAnsi="Times New Roman"/>
          <w:b/>
          <w:sz w:val="20"/>
        </w:rPr>
      </w:pPr>
      <w:r>
        <w:rPr>
          <w:rFonts w:ascii="Times New Roman" w:hAnsi="Times New Roman"/>
          <w:b/>
          <w:sz w:val="20"/>
        </w:rPr>
        <w:t xml:space="preserve">$3.56 per share, net to the stockholder in cash, without interest and less any applicable tax withholding, </w:t>
      </w:r>
    </w:p>
    <w:p>
      <w:pPr>
        <w:pStyle w:val="TextBody"/>
        <w:bidi w:val="0"/>
        <w:spacing w:before="0" w:after="0"/>
        <w:jc w:val="center"/>
        <w:rPr>
          <w:rFonts w:ascii="Times New Roman" w:hAnsi="Times New Roman"/>
          <w:sz w:val="20"/>
        </w:rPr>
      </w:pPr>
      <w:r>
        <w:rPr>
          <w:rFonts w:ascii="Times New Roman" w:hAnsi="Times New Roman"/>
          <w:b/>
          <w:i/>
          <w:sz w:val="20"/>
        </w:rPr>
        <w:t>plus</w:t>
      </w:r>
      <w:r>
        <w:rPr>
          <w:rFonts w:ascii="Times New Roman" w:hAnsi="Times New Roman"/>
          <w:sz w:val="20"/>
        </w:rPr>
        <w:t xml:space="preserve"> </w:t>
      </w:r>
      <w:r>
        <w:rPr>
          <w:rFonts w:ascii="Times New Roman" w:hAnsi="Times New Roman"/>
          <w:b/>
          <w:sz w:val="20"/>
        </w:rPr>
        <w:t xml:space="preserve">one non-tradable contingent value right (“CVR”) per share, </w:t>
      </w:r>
    </w:p>
    <w:p>
      <w:pPr>
        <w:pStyle w:val="TextBody"/>
        <w:bidi w:val="0"/>
        <w:spacing w:before="0" w:after="0"/>
        <w:jc w:val="center"/>
        <w:rPr>
          <w:rFonts w:ascii="Times New Roman" w:hAnsi="Times New Roman"/>
          <w:b/>
          <w:sz w:val="20"/>
        </w:rPr>
      </w:pPr>
      <w:r>
        <w:rPr>
          <w:rFonts w:ascii="Times New Roman" w:hAnsi="Times New Roman"/>
          <w:b/>
          <w:sz w:val="20"/>
        </w:rPr>
        <w:t xml:space="preserve">which represents the contractual right to receive up to two contingent cash payments of up to an aggregate of $8.91 per CVR, net to the stockholder in cash, without interest and less any applicable tax withholding, upon the achievement of certain specified milestones </w:t>
      </w:r>
    </w:p>
    <w:p>
      <w:pPr>
        <w:pStyle w:val="TextBody"/>
        <w:bidi w:val="0"/>
        <w:spacing w:before="240" w:after="0"/>
        <w:jc w:val="center"/>
        <w:rPr>
          <w:rFonts w:ascii="Times New Roman" w:hAnsi="Times New Roman"/>
          <w:b/>
          <w:sz w:val="20"/>
        </w:rPr>
      </w:pPr>
      <w:r>
        <w:rPr>
          <w:rFonts w:ascii="Times New Roman" w:hAnsi="Times New Roman"/>
          <w:b/>
          <w:sz w:val="20"/>
        </w:rPr>
        <w:t xml:space="preserve">Pursuant to the Offer to Purchase dated November 7, 2025 </w:t>
      </w:r>
    </w:p>
    <w:p>
      <w:pPr>
        <w:pStyle w:val="TextBody"/>
        <w:bidi w:val="0"/>
        <w:spacing w:before="240" w:after="0"/>
        <w:jc w:val="center"/>
        <w:rPr>
          <w:rFonts w:ascii="Times New Roman" w:hAnsi="Times New Roman"/>
          <w:b/>
          <w:sz w:val="20"/>
        </w:rPr>
      </w:pPr>
      <w:r>
        <w:rPr>
          <w:rFonts w:ascii="Times New Roman" w:hAnsi="Times New Roman"/>
          <w:b/>
          <w:sz w:val="20"/>
        </w:rPr>
        <w:t xml:space="preserve">by </w:t>
      </w:r>
    </w:p>
    <w:p>
      <w:pPr>
        <w:pStyle w:val="TextBody"/>
        <w:bidi w:val="0"/>
        <w:spacing w:before="240" w:after="0"/>
        <w:jc w:val="center"/>
        <w:rPr>
          <w:rFonts w:ascii="Times New Roman" w:hAnsi="Times New Roman"/>
          <w:b/>
          <w:sz w:val="20"/>
        </w:rPr>
      </w:pPr>
      <w:r>
        <w:rPr>
          <w:rFonts w:ascii="Times New Roman" w:hAnsi="Times New Roman"/>
          <w:b/>
          <w:sz w:val="20"/>
        </w:rPr>
        <w:t xml:space="preserve">FLYING TIGERS ACQUISITION 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a direct wholly-owned subsidiary of </w:t>
      </w:r>
    </w:p>
    <w:p>
      <w:pPr>
        <w:pStyle w:val="TextBody"/>
        <w:bidi w:val="0"/>
        <w:spacing w:before="240" w:after="0"/>
        <w:jc w:val="center"/>
        <w:rPr>
          <w:rFonts w:ascii="Times New Roman" w:hAnsi="Times New Roman"/>
          <w:b/>
          <w:sz w:val="20"/>
        </w:rPr>
      </w:pPr>
      <w:r>
        <w:rPr>
          <w:rFonts w:ascii="Times New Roman" w:hAnsi="Times New Roman"/>
          <w:b/>
          <w:sz w:val="20"/>
        </w:rPr>
        <w:t xml:space="preserve">ELI LILLY AND COMPANY </w:t>
      </w:r>
    </w:p>
    <w:p>
      <w:pPr>
        <w:pStyle w:val="TextBody"/>
        <w:bidi w:val="0"/>
        <w:spacing w:before="0" w:after="0"/>
        <w:jc w:val="left"/>
        <w:rPr/>
      </w:pPr>
      <w:r>
        <w:rPr/>
        <w:t> </w:t>
      </w:r>
    </w:p>
    <w:p>
      <w:pPr>
        <w:pStyle w:val="TextBody"/>
        <w:pBdr/>
        <w:bidi w:val="0"/>
        <w:spacing w:before="0" w:after="0"/>
        <w:jc w:val="center"/>
        <w:rPr>
          <w:rFonts w:ascii="Times New Roman" w:hAnsi="Times New Roman"/>
          <w:b/>
          <w:sz w:val="20"/>
          <w:bdr w:val="single" w:sz="2" w:space="2" w:color="000000"/>
        </w:rPr>
      </w:pPr>
      <w:r>
        <w:rPr>
          <w:rFonts w:ascii="Times New Roman" w:hAnsi="Times New Roman"/>
          <w:b/>
          <w:sz w:val="20"/>
          <w:bdr w:val="single" w:sz="2" w:space="2" w:color="000000"/>
        </w:rPr>
        <w:t xml:space="preserve">THE OFFER AND WITHDRAWAL RIGHTS WILL EXPIRE AT ONE MINUTE PAST 11:59 P.M., EASTERN TIME, ON DECEMBER 8, 2025, UNLESS THE OFFER IS EXTENDED OR EARLIER TERMINATED. </w:t>
      </w:r>
    </w:p>
    <w:p>
      <w:pPr>
        <w:pStyle w:val="TextBody"/>
        <w:bidi w:val="0"/>
        <w:spacing w:before="240" w:after="0"/>
        <w:jc w:val="center"/>
        <w:rPr>
          <w:rFonts w:ascii="Times New Roman" w:hAnsi="Times New Roman"/>
          <w:b/>
          <w:i/>
          <w:sz w:val="20"/>
        </w:rPr>
      </w:pPr>
      <w:r>
        <w:rPr>
          <w:rFonts w:ascii="Times New Roman" w:hAnsi="Times New Roman"/>
          <w:b/>
          <w:i/>
          <w:sz w:val="20"/>
        </w:rPr>
        <w:t xml:space="preserve">The Depositary and Paying Agent for the Offer is: </w:t>
      </w:r>
    </w:p>
    <w:p>
      <w:pPr>
        <w:pStyle w:val="TextBody"/>
        <w:bidi w:val="0"/>
        <w:spacing w:before="0" w:after="0"/>
        <w:jc w:val="left"/>
        <w:rPr/>
      </w:pPr>
      <w:r>
        <w:rPr/>
        <w:t> </w:t>
      </w:r>
    </w:p>
    <w:p>
      <w:pPr>
        <w:pStyle w:val="TextBody"/>
        <w:bidi w:val="0"/>
        <w:spacing w:before="0" w:after="0"/>
        <w:jc w:val="center"/>
        <w:rPr/>
      </w:pPr>
      <w:r>
        <w:rPr/>
        <w:drawing>
          <wp:inline distT="0" distB="0" distL="0" distR="0">
            <wp:extent cx="1672590" cy="3270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9"/>
                    <a:stretch>
                      <a:fillRect/>
                    </a:stretch>
                  </pic:blipFill>
                  <pic:spPr bwMode="auto">
                    <a:xfrm>
                      <a:off x="0" y="0"/>
                      <a:ext cx="1672590" cy="3270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Method of delivery of the certificate(s) is at the option and risk of the owner thereof. See </w:t>
      </w:r>
      <w:r>
        <w:rPr>
          <w:rFonts w:ascii="Times New Roman" w:hAnsi="Times New Roman"/>
          <w:i/>
          <w:sz w:val="20"/>
        </w:rPr>
        <w:t>Instruction 2</w:t>
      </w:r>
      <w:r>
        <w:rPr>
          <w:rFonts w:ascii="Times New Roman" w:hAnsi="Times New Roman"/>
          <w:sz w:val="20"/>
        </w:rPr>
        <w:t xml:space="preserve">. Mail or deliver this Letter of Transmittal, together with the certificate(s) representing your shares,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center"/>
              <w:rPr>
                <w:rFonts w:ascii="Times New Roman" w:hAnsi="Times New Roman"/>
                <w:i/>
                <w:sz w:val="20"/>
              </w:rPr>
            </w:pPr>
            <w:r>
              <w:rPr>
                <w:rFonts w:ascii="Times New Roman" w:hAnsi="Times New Roman"/>
                <w:i/>
                <w:sz w:val="20"/>
              </w:rPr>
              <w:t>If delivering by mail:</w:t>
            </w:r>
          </w:p>
          <w:p>
            <w:pPr>
              <w:pStyle w:val="TableContents"/>
              <w:bidi w:val="0"/>
              <w:spacing w:before="0" w:after="0"/>
              <w:jc w:val="center"/>
              <w:rPr/>
            </w:pPr>
            <w:r>
              <w:rPr/>
              <w:t> </w:t>
            </w:r>
          </w:p>
          <w:p>
            <w:pPr>
              <w:pStyle w:val="TableContents"/>
              <w:bidi w:val="0"/>
              <w:spacing w:before="0" w:after="0"/>
              <w:jc w:val="left"/>
              <w:rPr/>
            </w:pPr>
            <w:r>
              <w:rPr/>
              <w:t> </w:t>
            </w:r>
          </w:p>
          <w:p>
            <w:pPr>
              <w:pStyle w:val="TableContents"/>
              <w:bidi w:val="0"/>
              <w:spacing w:before="0" w:after="0"/>
              <w:jc w:val="center"/>
              <w:rPr>
                <w:rFonts w:ascii="Times New Roman" w:hAnsi="Times New Roman"/>
                <w:sz w:val="20"/>
              </w:rPr>
            </w:pPr>
            <w:r>
              <w:rPr>
                <w:rFonts w:ascii="Times New Roman" w:hAnsi="Times New Roman"/>
                <w:sz w:val="20"/>
              </w:rPr>
              <w:t>Computershare</w:t>
            </w:r>
          </w:p>
          <w:p>
            <w:pPr>
              <w:pStyle w:val="TableContents"/>
              <w:bidi w:val="0"/>
              <w:spacing w:before="0" w:after="0"/>
              <w:jc w:val="center"/>
              <w:rPr>
                <w:rFonts w:ascii="Times New Roman" w:hAnsi="Times New Roman"/>
                <w:sz w:val="20"/>
              </w:rPr>
            </w:pPr>
            <w:r>
              <w:rPr>
                <w:rFonts w:ascii="Times New Roman" w:hAnsi="Times New Roman"/>
                <w:sz w:val="20"/>
              </w:rPr>
              <w:t>c/o Voluntary Corporate Actions</w:t>
            </w:r>
          </w:p>
          <w:p>
            <w:pPr>
              <w:pStyle w:val="TableContents"/>
              <w:bidi w:val="0"/>
              <w:spacing w:before="0" w:after="0"/>
              <w:jc w:val="center"/>
              <w:rPr>
                <w:rFonts w:ascii="Times New Roman" w:hAnsi="Times New Roman"/>
                <w:sz w:val="20"/>
              </w:rPr>
            </w:pPr>
            <w:r>
              <w:rPr>
                <w:rFonts w:ascii="Times New Roman" w:hAnsi="Times New Roman"/>
                <w:sz w:val="20"/>
              </w:rPr>
              <w:t>P.O. Box 43011</w:t>
            </w:r>
          </w:p>
          <w:p>
            <w:pPr>
              <w:pStyle w:val="TableContents"/>
              <w:bidi w:val="0"/>
              <w:spacing w:before="0" w:after="20"/>
              <w:jc w:val="center"/>
              <w:rPr>
                <w:rFonts w:ascii="Times New Roman" w:hAnsi="Times New Roman"/>
                <w:sz w:val="20"/>
              </w:rPr>
            </w:pPr>
            <w:r>
              <w:rPr>
                <w:rFonts w:ascii="Times New Roman" w:hAnsi="Times New Roman"/>
                <w:sz w:val="20"/>
              </w:rPr>
              <w:t>Providence, Rhode Island 02940-3011</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center"/>
              <w:rPr>
                <w:rFonts w:ascii="Times New Roman" w:hAnsi="Times New Roman"/>
                <w:i/>
                <w:sz w:val="20"/>
              </w:rPr>
            </w:pPr>
            <w:r>
              <w:rPr>
                <w:rFonts w:ascii="Times New Roman" w:hAnsi="Times New Roman"/>
                <w:i/>
                <w:sz w:val="20"/>
              </w:rPr>
              <w:t>If delivering by express mail, courier</w:t>
            </w:r>
          </w:p>
          <w:p>
            <w:pPr>
              <w:pStyle w:val="TableContents"/>
              <w:bidi w:val="0"/>
              <w:spacing w:before="0" w:after="0"/>
              <w:jc w:val="center"/>
              <w:rPr>
                <w:rFonts w:ascii="Times New Roman" w:hAnsi="Times New Roman"/>
                <w:i/>
                <w:sz w:val="20"/>
              </w:rPr>
            </w:pPr>
            <w:r>
              <w:rPr>
                <w:rFonts w:ascii="Times New Roman" w:hAnsi="Times New Roman"/>
                <w:i/>
                <w:sz w:val="20"/>
              </w:rPr>
              <w:t>or any other expedited service:</w:t>
            </w:r>
          </w:p>
          <w:p>
            <w:pPr>
              <w:pStyle w:val="TableContents"/>
              <w:bidi w:val="0"/>
              <w:spacing w:before="0" w:after="0"/>
              <w:jc w:val="left"/>
              <w:rPr/>
            </w:pPr>
            <w:r>
              <w:rPr/>
              <w:t> </w:t>
            </w:r>
          </w:p>
          <w:p>
            <w:pPr>
              <w:pStyle w:val="TableContents"/>
              <w:bidi w:val="0"/>
              <w:spacing w:before="0" w:after="0"/>
              <w:jc w:val="center"/>
              <w:rPr>
                <w:rFonts w:ascii="Times New Roman" w:hAnsi="Times New Roman"/>
                <w:sz w:val="20"/>
              </w:rPr>
            </w:pPr>
            <w:r>
              <w:rPr>
                <w:rFonts w:ascii="Times New Roman" w:hAnsi="Times New Roman"/>
                <w:sz w:val="20"/>
              </w:rPr>
              <w:t>Computershare</w:t>
            </w:r>
          </w:p>
          <w:p>
            <w:pPr>
              <w:pStyle w:val="TableContents"/>
              <w:bidi w:val="0"/>
              <w:spacing w:before="0" w:after="0"/>
              <w:jc w:val="center"/>
              <w:rPr>
                <w:rFonts w:ascii="Times New Roman" w:hAnsi="Times New Roman"/>
                <w:sz w:val="20"/>
              </w:rPr>
            </w:pPr>
            <w:r>
              <w:rPr>
                <w:rFonts w:ascii="Times New Roman" w:hAnsi="Times New Roman"/>
                <w:sz w:val="20"/>
              </w:rPr>
              <w:t>c/o Voluntary Corporate Actions</w:t>
            </w:r>
          </w:p>
          <w:p>
            <w:pPr>
              <w:pStyle w:val="TableContents"/>
              <w:bidi w:val="0"/>
              <w:spacing w:before="0" w:after="0"/>
              <w:jc w:val="center"/>
              <w:rPr>
                <w:rFonts w:ascii="Times New Roman" w:hAnsi="Times New Roman"/>
                <w:sz w:val="20"/>
              </w:rPr>
            </w:pPr>
            <w:r>
              <w:rPr>
                <w:rFonts w:ascii="Times New Roman" w:hAnsi="Times New Roman"/>
                <w:sz w:val="20"/>
              </w:rPr>
              <w:t>Suite V</w:t>
            </w:r>
          </w:p>
          <w:p>
            <w:pPr>
              <w:pStyle w:val="TableContents"/>
              <w:bidi w:val="0"/>
              <w:spacing w:before="0" w:after="0"/>
              <w:jc w:val="center"/>
              <w:rPr>
                <w:rFonts w:ascii="Times New Roman" w:hAnsi="Times New Roman"/>
                <w:sz w:val="20"/>
              </w:rPr>
            </w:pPr>
            <w:r>
              <w:rPr>
                <w:rFonts w:ascii="Times New Roman" w:hAnsi="Times New Roman"/>
                <w:sz w:val="20"/>
              </w:rPr>
              <w:t>150 Royall Street</w:t>
            </w:r>
          </w:p>
          <w:p>
            <w:pPr>
              <w:pStyle w:val="TableContents"/>
              <w:bidi w:val="0"/>
              <w:spacing w:before="0" w:after="20"/>
              <w:jc w:val="center"/>
              <w:rPr>
                <w:rFonts w:ascii="Times New Roman" w:hAnsi="Times New Roman"/>
                <w:sz w:val="20"/>
              </w:rPr>
            </w:pPr>
            <w:r>
              <w:rPr>
                <w:rFonts w:ascii="Times New Roman" w:hAnsi="Times New Roman"/>
                <w:sz w:val="20"/>
              </w:rPr>
              <w:t>Canton, Massachusetts 02021</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4287"/>
        <w:gridCol w:w="101"/>
        <w:gridCol w:w="1735"/>
        <w:gridCol w:w="101"/>
        <w:gridCol w:w="1940"/>
        <w:gridCol w:w="101"/>
        <w:gridCol w:w="1940"/>
      </w:tblGrid>
      <w:tr>
        <w:trPr/>
        <w:tc>
          <w:tcPr>
            <w:tcW w:w="428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top w:val="single" w:sz="2" w:space="0" w:color="000000"/>
              <w:left w:val="single" w:sz="2" w:space="0" w:color="000000"/>
              <w:right w:val="single" w:sz="2" w:space="0" w:color="000000"/>
            </w:tcBorders>
            <w:tcMar>
              <w:top w:w="28" w:type="dxa"/>
              <w:left w:w="160" w:type="dxa"/>
              <w:right w:w="40" w:type="dxa"/>
            </w:tcMar>
          </w:tcPr>
          <w:p>
            <w:pPr>
              <w:pStyle w:val="TableContents"/>
              <w:bidi w:val="0"/>
              <w:spacing w:before="0" w:after="283"/>
              <w:jc w:val="center"/>
              <w:rPr>
                <w:b/>
              </w:rPr>
            </w:pPr>
            <w:r>
              <w:rPr>
                <w:b/>
              </w:rPr>
              <w:t>DESCRIPTION OF SHARES TENDERED</w:t>
            </w:r>
          </w:p>
        </w:tc>
      </w:tr>
      <w:tr>
        <w:trPr/>
        <w:tc>
          <w:tcPr>
            <w:tcW w:w="4287"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0"/>
              <w:jc w:val="center"/>
              <w:rPr>
                <w:rFonts w:ascii="Times New Roman" w:hAnsi="Times New Roman"/>
                <w:b/>
                <w:sz w:val="16"/>
              </w:rPr>
            </w:pPr>
            <w:r>
              <w:rPr>
                <w:rFonts w:ascii="Times New Roman" w:hAnsi="Times New Roman"/>
                <w:b/>
                <w:sz w:val="16"/>
              </w:rPr>
              <w:t>Name(s) and Address(es) of Holder(s) of Record</w:t>
            </w:r>
          </w:p>
          <w:p>
            <w:pPr>
              <w:pStyle w:val="TableContents"/>
              <w:bidi w:val="0"/>
              <w:spacing w:before="0" w:after="0"/>
              <w:jc w:val="center"/>
              <w:rPr>
                <w:rFonts w:ascii="Times New Roman" w:hAnsi="Times New Roman"/>
                <w:b/>
                <w:sz w:val="16"/>
              </w:rPr>
            </w:pPr>
            <w:r>
              <w:rPr>
                <w:rFonts w:ascii="Times New Roman" w:hAnsi="Times New Roman"/>
                <w:b/>
                <w:sz w:val="16"/>
              </w:rPr>
              <w:t>(If blank, please fill in exactly as name(s)</w:t>
            </w:r>
          </w:p>
          <w:p>
            <w:pPr>
              <w:pStyle w:val="TableContents"/>
              <w:bidi w:val="0"/>
              <w:spacing w:before="0" w:after="20"/>
              <w:jc w:val="center"/>
              <w:rPr>
                <w:rFonts w:ascii="Times New Roman" w:hAnsi="Times New Roman"/>
                <w:b/>
                <w:sz w:val="16"/>
              </w:rPr>
            </w:pPr>
            <w:r>
              <w:rPr>
                <w:rFonts w:ascii="Times New Roman" w:hAnsi="Times New Roman"/>
                <w:b/>
                <w:sz w:val="16"/>
              </w:rPr>
              <w:t>appear(s) on share certificate(s))</w:t>
            </w:r>
          </w:p>
        </w:tc>
        <w:tc>
          <w:tcPr>
            <w:tcW w:w="101"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5817" w:type="dxa"/>
            <w:gridSpan w:val="5"/>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Shares Tendered</w:t>
            </w:r>
          </w:p>
          <w:p>
            <w:pPr>
              <w:pStyle w:val="TableContents"/>
              <w:bidi w:val="0"/>
              <w:spacing w:before="0" w:after="20"/>
              <w:jc w:val="center"/>
              <w:rPr>
                <w:rFonts w:ascii="Times New Roman" w:hAnsi="Times New Roman"/>
                <w:b/>
                <w:sz w:val="16"/>
              </w:rPr>
            </w:pPr>
            <w:r>
              <w:rPr>
                <w:rFonts w:ascii="Times New Roman" w:hAnsi="Times New Roman"/>
                <w:b/>
                <w:sz w:val="16"/>
              </w:rPr>
              <w:t>(attach additional list if necessary)</w:t>
            </w:r>
          </w:p>
        </w:tc>
      </w:tr>
      <w:tr>
        <w:trPr/>
        <w:tc>
          <w:tcPr>
            <w:tcW w:w="4287" w:type="dxa"/>
            <w:vMerge w:val="restart"/>
            <w:tcBorders>
              <w:left w:val="single" w:sz="2" w:space="0" w:color="000000"/>
            </w:tcBorders>
            <w:tcMar>
              <w:left w:w="160" w:type="dxa"/>
            </w:tcMar>
          </w:tcPr>
          <w:p>
            <w:pPr>
              <w:pStyle w:val="TableContents"/>
              <w:bidi w:val="0"/>
              <w:spacing w:before="0" w:after="283"/>
              <w:jc w:val="left"/>
              <w:rPr/>
            </w:pPr>
            <w:r>
              <w:rPr/>
              <w:t> </w:t>
            </w:r>
          </w:p>
        </w:tc>
        <w:tc>
          <w:tcPr>
            <w:tcW w:w="101" w:type="dxa"/>
            <w:tcBorders>
              <w:left w:val="single" w:sz="2" w:space="0" w:color="000000"/>
            </w:tcBorders>
            <w:tcMar>
              <w:left w:w="28" w:type="dxa"/>
            </w:tcMar>
            <w:vAlign w:val="bottom"/>
          </w:tcPr>
          <w:p>
            <w:pPr>
              <w:pStyle w:val="TableContents"/>
              <w:bidi w:val="0"/>
              <w:spacing w:before="0" w:after="283"/>
              <w:jc w:val="left"/>
              <w:rPr/>
            </w:pPr>
            <w:r>
              <w:rPr/>
              <w:t> </w:t>
            </w:r>
          </w:p>
        </w:tc>
        <w:tc>
          <w:tcPr>
            <w:tcW w:w="3776" w:type="dxa"/>
            <w:gridSpan w:val="3"/>
            <w:tcBorders/>
            <w:vAlign w:val="bottom"/>
          </w:tcPr>
          <w:p>
            <w:pPr>
              <w:pStyle w:val="TableContents"/>
              <w:bidi w:val="0"/>
              <w:spacing w:before="0" w:after="283"/>
              <w:jc w:val="center"/>
              <w:rPr>
                <w:b/>
              </w:rPr>
            </w:pPr>
            <w:r>
              <w:rPr>
                <w:b/>
              </w:rPr>
              <w:t>Certificated Shares*</w:t>
            </w:r>
          </w:p>
        </w:tc>
        <w:tc>
          <w:tcPr>
            <w:tcW w:w="101" w:type="dxa"/>
            <w:tcBorders>
              <w:left w:val="single" w:sz="2" w:space="0" w:color="000000"/>
            </w:tcBorders>
            <w:tcMar>
              <w:left w:w="28" w:type="dxa"/>
            </w:tcMar>
            <w:vAlign w:val="bottom"/>
          </w:tcPr>
          <w:p>
            <w:pPr>
              <w:pStyle w:val="TableContents"/>
              <w:bidi w:val="0"/>
              <w:spacing w:before="0" w:after="283"/>
              <w:jc w:val="left"/>
              <w:rPr/>
            </w:pPr>
            <w:r>
              <w:rPr/>
              <w:t> </w:t>
            </w:r>
          </w:p>
        </w:tc>
        <w:tc>
          <w:tcPr>
            <w:tcW w:w="1940" w:type="dxa"/>
            <w:tcBorders>
              <w:right w:val="single" w:sz="2" w:space="0" w:color="000000"/>
            </w:tcBorders>
            <w:tcMar>
              <w:right w:w="40" w:type="dxa"/>
            </w:tcMar>
            <w:vAlign w:val="bottom"/>
          </w:tcPr>
          <w:p>
            <w:pPr>
              <w:pStyle w:val="TableContents"/>
              <w:bidi w:val="0"/>
              <w:spacing w:before="0" w:after="283"/>
              <w:jc w:val="center"/>
              <w:rPr>
                <w:b/>
              </w:rPr>
            </w:pPr>
            <w:r>
              <w:rPr>
                <w:b/>
              </w:rPr>
              <w:t>Book-Entry</w:t>
              <w:br/>
              <w:t>Shares</w:t>
            </w:r>
          </w:p>
        </w:tc>
      </w:tr>
      <w:tr>
        <w:trPr/>
        <w:tc>
          <w:tcPr>
            <w:tcW w:w="4287" w:type="dxa"/>
            <w:vMerge w:val="continue"/>
            <w:tcBorders>
              <w:left w:val="single" w:sz="2" w:space="0" w:color="000000"/>
            </w:tcBorders>
            <w:tcMar>
              <w:left w:w="160" w:type="dxa"/>
            </w:tcMar>
          </w:tcPr>
          <w:p>
            <w:pPr>
              <w:pStyle w:val="Normal"/>
              <w:bidi w:val="0"/>
              <w:jc w:val="left"/>
              <w:rPr/>
            </w:pPr>
            <w:r>
              <w:rPr/>
            </w:r>
          </w:p>
        </w:tc>
        <w:tc>
          <w:tcPr>
            <w:tcW w:w="10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35"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b/>
              </w:rPr>
            </w:pPr>
            <w:r>
              <w:rPr>
                <w:b/>
              </w:rPr>
              <w:t>Certificate</w:t>
              <w:br/>
              <w:t>Number(s) and/or</w:t>
              <w:br/>
              <w:t>Indicate</w:t>
              <w:br/>
              <w:t>Book-Entry*</w:t>
            </w:r>
          </w:p>
        </w:tc>
        <w:tc>
          <w:tcPr>
            <w:tcW w:w="10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4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b/>
              </w:rPr>
            </w:pPr>
            <w:r>
              <w:rPr>
                <w:b/>
              </w:rPr>
              <w:t>Total Number of Shares</w:t>
              <w:br/>
              <w:t>Represented by</w:t>
              <w:br/>
              <w:t>Certificate(s) being</w:t>
              <w:br/>
              <w:t>Tendered*</w:t>
            </w:r>
          </w:p>
        </w:tc>
        <w:tc>
          <w:tcPr>
            <w:tcW w:w="10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40"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center"/>
              <w:rPr>
                <w:b/>
              </w:rPr>
            </w:pPr>
            <w:r>
              <w:rPr>
                <w:b/>
              </w:rPr>
              <w:t>Total Number of</w:t>
              <w:br/>
              <w:t>Book-Entry</w:t>
              <w:br/>
              <w:t>Shares</w:t>
              <w:br/>
              <w:t>Tendered</w:t>
            </w:r>
          </w:p>
        </w:tc>
      </w:tr>
      <w:tr>
        <w:trPr/>
        <w:tc>
          <w:tcPr>
            <w:tcW w:w="4287" w:type="dxa"/>
            <w:vMerge w:val="continue"/>
            <w:tcBorders>
              <w:left w:val="single" w:sz="2" w:space="0" w:color="000000"/>
            </w:tcBorders>
            <w:tcMar>
              <w:left w:w="160" w:type="dxa"/>
            </w:tcMar>
          </w:tcPr>
          <w:p>
            <w:pPr>
              <w:pStyle w:val="Normal"/>
              <w:bidi w:val="0"/>
              <w:jc w:val="left"/>
              <w:rPr/>
            </w:pPr>
            <w:r>
              <w:rPr/>
            </w:r>
          </w:p>
        </w:tc>
        <w:tc>
          <w:tcPr>
            <w:tcW w:w="10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3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0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4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0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40"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4287" w:type="dxa"/>
            <w:vMerge w:val="continue"/>
            <w:tcBorders>
              <w:left w:val="single" w:sz="2" w:space="0" w:color="000000"/>
            </w:tcBorders>
            <w:tcMar>
              <w:left w:w="160" w:type="dxa"/>
            </w:tcMar>
          </w:tcPr>
          <w:p>
            <w:pPr>
              <w:pStyle w:val="Normal"/>
              <w:bidi w:val="0"/>
              <w:jc w:val="left"/>
              <w:rPr/>
            </w:pPr>
            <w:r>
              <w:rPr/>
            </w:r>
          </w:p>
        </w:tc>
        <w:tc>
          <w:tcPr>
            <w:tcW w:w="10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3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0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4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0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40"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4287" w:type="dxa"/>
            <w:vMerge w:val="continue"/>
            <w:tcBorders>
              <w:left w:val="single" w:sz="2" w:space="0" w:color="000000"/>
            </w:tcBorders>
            <w:tcMar>
              <w:left w:w="160" w:type="dxa"/>
            </w:tcMar>
          </w:tcPr>
          <w:p>
            <w:pPr>
              <w:pStyle w:val="Normal"/>
              <w:bidi w:val="0"/>
              <w:jc w:val="left"/>
              <w:rPr/>
            </w:pPr>
            <w:r>
              <w:rPr/>
            </w:r>
          </w:p>
        </w:tc>
        <w:tc>
          <w:tcPr>
            <w:tcW w:w="10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3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0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4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0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40"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4287" w:type="dxa"/>
            <w:vMerge w:val="continue"/>
            <w:tcBorders>
              <w:left w:val="single" w:sz="2" w:space="0" w:color="000000"/>
            </w:tcBorders>
            <w:tcMar>
              <w:left w:w="160" w:type="dxa"/>
            </w:tcMar>
          </w:tcPr>
          <w:p>
            <w:pPr>
              <w:pStyle w:val="Normal"/>
              <w:bidi w:val="0"/>
              <w:jc w:val="left"/>
              <w:rPr/>
            </w:pPr>
            <w:r>
              <w:rPr/>
            </w:r>
          </w:p>
        </w:tc>
        <w:tc>
          <w:tcPr>
            <w:tcW w:w="10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3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0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4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0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40"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4287" w:type="dxa"/>
            <w:vMerge w:val="continue"/>
            <w:tcBorders>
              <w:left w:val="single" w:sz="2" w:space="0" w:color="000000"/>
            </w:tcBorders>
            <w:tcMar>
              <w:left w:w="160" w:type="dxa"/>
            </w:tcMar>
          </w:tcPr>
          <w:p>
            <w:pPr>
              <w:pStyle w:val="Normal"/>
              <w:bidi w:val="0"/>
              <w:jc w:val="left"/>
              <w:rPr/>
            </w:pPr>
            <w:r>
              <w:rPr/>
            </w:r>
          </w:p>
        </w:tc>
        <w:tc>
          <w:tcPr>
            <w:tcW w:w="10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3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0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4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01" w:type="dxa"/>
            <w:tcBorders>
              <w:left w:val="single" w:sz="2" w:space="0" w:color="000000"/>
            </w:tcBorders>
            <w:tcMar>
              <w:left w:w="28" w:type="dxa"/>
            </w:tcMar>
            <w:vAlign w:val="bottom"/>
          </w:tcPr>
          <w:p>
            <w:pPr>
              <w:pStyle w:val="TableContents"/>
              <w:bidi w:val="0"/>
              <w:spacing w:before="0" w:after="283"/>
              <w:jc w:val="left"/>
              <w:rPr/>
            </w:pPr>
            <w:r>
              <w:rPr/>
              <w:t> </w:t>
            </w:r>
          </w:p>
        </w:tc>
        <w:tc>
          <w:tcPr>
            <w:tcW w:w="1940" w:type="dxa"/>
            <w:tcBorders>
              <w:right w:val="single" w:sz="2" w:space="0" w:color="000000"/>
            </w:tcBorders>
            <w:tcMar>
              <w:right w:w="40" w:type="dxa"/>
            </w:tcMar>
          </w:tcPr>
          <w:p>
            <w:pPr>
              <w:pStyle w:val="TableContents"/>
              <w:bidi w:val="0"/>
              <w:spacing w:before="0" w:after="283"/>
              <w:jc w:val="left"/>
              <w:rPr/>
            </w:pPr>
            <w:r>
              <w:rPr/>
              <w:t> </w:t>
            </w:r>
          </w:p>
        </w:tc>
      </w:tr>
      <w:tr>
        <w:trPr/>
        <w:tc>
          <w:tcPr>
            <w:tcW w:w="4287" w:type="dxa"/>
            <w:tcBorders>
              <w:left w:val="single" w:sz="2" w:space="0" w:color="000000"/>
            </w:tcBorders>
            <w:tcMar>
              <w:left w:w="160" w:type="dxa"/>
            </w:tcMar>
          </w:tcPr>
          <w:p>
            <w:pPr>
              <w:pStyle w:val="TableContents"/>
              <w:bidi w:val="0"/>
              <w:spacing w:before="0" w:after="283"/>
              <w:jc w:val="left"/>
              <w:rPr/>
            </w:pPr>
            <w:r>
              <w:rPr/>
              <w:t> </w:t>
            </w:r>
          </w:p>
        </w:tc>
        <w:tc>
          <w:tcPr>
            <w:tcW w:w="10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3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center"/>
              <w:rPr>
                <w:b/>
              </w:rPr>
            </w:pPr>
            <w:r>
              <w:rPr>
                <w:b/>
              </w:rPr>
              <w:t>Total Shares</w:t>
            </w:r>
          </w:p>
        </w:tc>
        <w:tc>
          <w:tcPr>
            <w:tcW w:w="10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4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0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40"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10205" w:type="dxa"/>
            <w:gridSpan w:val="7"/>
            <w:tcBorders>
              <w:top w:val="single" w:sz="4" w:space="0" w:color="000000"/>
              <w:left w:val="single" w:sz="4" w:space="0" w:color="000000"/>
              <w:bottom w:val="single" w:sz="4" w:space="0" w:color="000000"/>
              <w:right w:val="single" w:sz="4" w:space="0" w:color="000000"/>
            </w:tcBorders>
            <w:tcMar>
              <w:top w:w="28" w:type="dxa"/>
              <w:left w:w="160" w:type="dxa"/>
              <w:bottom w:w="28" w:type="dxa"/>
              <w:right w:w="40" w:type="dxa"/>
            </w:tcMar>
          </w:tcPr>
          <w:p>
            <w:pPr>
              <w:pStyle w:val="TableContents"/>
              <w:bidi w:val="0"/>
              <w:spacing w:before="0" w:after="0"/>
              <w:jc w:val="left"/>
              <w:rPr/>
            </w:pPr>
            <w:r>
              <w:rPr/>
              <w:t> </w:t>
            </w:r>
            <w:r>
              <w:rPr>
                <w:rFonts w:ascii="Times New Roman" w:hAnsi="Times New Roman"/>
                <w:sz w:val="20"/>
              </w:rPr>
              <w:t xml:space="preserve">*  All shares of common stock represented by certificates described above will be deemed to have been tendered hereby. </w:t>
            </w:r>
            <w:r>
              <w:rPr>
                <w:rFonts w:ascii="Times New Roman" w:hAnsi="Times New Roman"/>
                <w:i/>
                <w:sz w:val="20"/>
              </w:rPr>
              <w:t>See Instruction 4</w:t>
            </w:r>
            <w:r>
              <w:rPr>
                <w:rFonts w:ascii="Times New Roman" w:hAnsi="Times New Roman"/>
                <w:sz w:val="20"/>
              </w:rPr>
              <w:t>.</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THE INSTRUCTIONS ACCOMPANYING THIS LETTER OF TRANSMITTAL SHOULD BE READ CAREFULLY BEFORE THIS LETTER OF TRANSMITTAL IS COMPLETED. </w:t>
      </w:r>
    </w:p>
    <w:p>
      <w:pPr>
        <w:pStyle w:val="TextBody"/>
        <w:bidi w:val="0"/>
        <w:spacing w:before="240" w:after="0"/>
        <w:jc w:val="left"/>
        <w:rPr>
          <w:rFonts w:ascii="Times New Roman" w:hAnsi="Times New Roman"/>
          <w:b/>
          <w:sz w:val="20"/>
        </w:rPr>
      </w:pPr>
      <w:r>
        <w:rPr>
          <w:rFonts w:ascii="Times New Roman" w:hAnsi="Times New Roman"/>
          <w:b/>
          <w:sz w:val="20"/>
        </w:rPr>
        <w:t xml:space="preserve">DELIVERY OF THIS LETTER OF TRANSMITTAL TO AN ADDRESS OTHER THAN AS SET FORTH ABOVE FOR THE DEPOSITARY WILL NOT CONSTITUTE VALID DELIVERY. YOU MUST SIGN THIS LETTER OF TRANSMITTAL IN THE APPROPRIATE SPACE PROVIDED BELOW, WITH A SIGNATURE GUARANTEE, IF REQUIRED, AND COMPLETE THE IRS FORM W-9 SET FORTH BELOW, IF REQUIRED. PLEASE READ THE INSTRUCTIONS ACCOMPANYING THIS LETTER OF TRANSMITTAL CAREFULLY BEFORE COMPLETING THIS LETTER OF TRANSMITTAL. </w:t>
      </w:r>
    </w:p>
    <w:p>
      <w:pPr>
        <w:pStyle w:val="TextBody"/>
        <w:bidi w:val="0"/>
        <w:spacing w:before="240" w:after="0"/>
        <w:jc w:val="left"/>
        <w:rPr>
          <w:rFonts w:ascii="Times New Roman" w:hAnsi="Times New Roman"/>
          <w:b/>
          <w:sz w:val="20"/>
        </w:rPr>
      </w:pPr>
      <w:r>
        <w:rPr>
          <w:rFonts w:ascii="Times New Roman" w:hAnsi="Times New Roman"/>
          <w:b/>
          <w:sz w:val="20"/>
        </w:rPr>
        <w:t xml:space="preserve">ALL QUESTIONS REGARDING THE OFFER SHOULD BE DIRECTED TO THE INFORMATION AGENT, GEORGESON LLC, AT 888-446-9207 (TOLL-FREE FROM THE UNITED STATES) OR 862-243-7027 (IF OUTSIDE THE U.S. OR CANADA), OR AT THE ADDRESS SET FORTH ON THE BACK PAGE OF THIS LETTER OF TRANSMITTAL. </w:t>
      </w:r>
    </w:p>
    <w:p>
      <w:pPr>
        <w:pStyle w:val="TextBody"/>
        <w:bidi w:val="0"/>
        <w:spacing w:before="240" w:after="0"/>
        <w:jc w:val="left"/>
        <w:rPr>
          <w:rFonts w:ascii="Times New Roman" w:hAnsi="Times New Roman"/>
          <w:b/>
          <w:sz w:val="20"/>
        </w:rPr>
      </w:pPr>
      <w:r>
        <w:rPr>
          <w:rFonts w:ascii="Times New Roman" w:hAnsi="Times New Roman"/>
          <w:b/>
          <w:sz w:val="20"/>
        </w:rPr>
        <w:t xml:space="preserve">IF YOU WOULD LIKE ADDITIONAL COPIES OF THIS LETTER OF TRANSMITTAL OR ANY OF THE OTHER MATERIALS RELATED TO THE OFFER, YOU SHOULD CONTACT THE INFORMATION AGENT, GEORGESON LLC, AT THE NUMBERS ABOVE. </w:t>
      </w:r>
    </w:p>
    <w:p>
      <w:pPr>
        <w:pStyle w:val="TextBody"/>
        <w:bidi w:val="0"/>
        <w:spacing w:before="240" w:after="0"/>
        <w:jc w:val="left"/>
        <w:rPr>
          <w:rFonts w:ascii="Times New Roman" w:hAnsi="Times New Roman"/>
          <w:b/>
          <w:sz w:val="20"/>
        </w:rPr>
      </w:pPr>
      <w:r>
        <w:rPr>
          <w:rFonts w:ascii="Times New Roman" w:hAnsi="Times New Roman"/>
          <w:b/>
          <w:sz w:val="20"/>
        </w:rPr>
        <w:t xml:space="preserve">THE OFFER IS NOT BEING MADE TO (NOR WILL TENDERS BE ACCEPTED FROM OR ON BEHALF OF) THE HOLDERS OF SHARES IN ANY JURISDICTION IN WHICH THE MAKING OF THE OFFER OR ACCEPTANCE THEREOF WOULD NOT BE IN COMPLIANCE WITH THE LAWS OF SUCH JURISDICTION. IN THOSE JURISDICTIONS WHERE APPLICABLE LAWS OR REGULATIONS REQUIRE THE OFFER TO BE MADE BY A LICENSED BROKER OR DEALER, THE OFFER SHALL BE DEEMED TO BE MADE ON BEHALF OF PURCHASER (AS DEFINED BELOW) BY ONE OR MORE REGISTERED BROKERS OR DEALERS LICENSED UNDER THE LAWS OF SUCH JURISDICTION TO BE DESIGNATED BY PURCHASER. </w:t>
      </w:r>
    </w:p>
    <w:p>
      <w:pPr>
        <w:pStyle w:val="TextBody"/>
        <w:bidi w:val="0"/>
        <w:spacing w:before="240" w:after="0"/>
        <w:jc w:val="left"/>
        <w:rPr>
          <w:rFonts w:ascii="Times New Roman" w:hAnsi="Times New Roman"/>
          <w:sz w:val="20"/>
        </w:rPr>
      </w:pPr>
      <w:r>
        <w:rPr>
          <w:rFonts w:ascii="Times New Roman" w:hAnsi="Times New Roman"/>
          <w:sz w:val="20"/>
        </w:rPr>
        <w:t xml:space="preserve">This Letter of Transmittal is being delivered to you in connection with the offer by Flying Tigers Acquisition Corporation, a Delaware corporation (“Purchaser”) and a direct wholly-owned subsidiary of Eli Lilly and Company, an Indiana corporation (“Lilly”), to purchase all of the issued and outstanding shares of common stock, par value $0.0001 per share (the “Shares”), of Adverum Biotechnologies, Inc., a Delaware corporation (“Adverum”), in exchange for (i) $3.56 per Share, net to the stockholder in cash, without interest (the “Cash Consideration”) and less any applicable tax withholding, </w:t>
      </w:r>
      <w:r>
        <w:rPr>
          <w:rFonts w:ascii="Times New Roman" w:hAnsi="Times New Roman"/>
          <w:i/>
          <w:sz w:val="20"/>
        </w:rPr>
        <w:t>plus</w:t>
      </w:r>
      <w:r>
        <w:rPr>
          <w:rFonts w:ascii="Times New Roman" w:hAnsi="Times New Roman"/>
          <w:sz w:val="20"/>
        </w:rPr>
        <w:t xml:space="preserve"> (ii) one non-tradable CVR per Share, which represents the contractual right to receive up to two contingent cash payments of up to an aggregate of $8.91 per CVR, net to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stockholder in cash, without interest and less any applicable tax withholding, upon the achievement of certain specified milestones, all in accordance with the terms and subject to the conditions and other provisions of a contingent value rights agreement (the “CVR Agreement”) to be entered into by and among Lilly, Computershare, Inc., a Delaware corporation, and its affiliate, Computershare Trust Company, N.A., a federally chartered trust company (the Cash Consideration </w:t>
      </w:r>
      <w:r>
        <w:rPr>
          <w:rFonts w:ascii="Times New Roman" w:hAnsi="Times New Roman"/>
          <w:i/>
          <w:sz w:val="20"/>
        </w:rPr>
        <w:t>plus</w:t>
      </w:r>
      <w:r>
        <w:rPr>
          <w:rFonts w:ascii="Times New Roman" w:hAnsi="Times New Roman"/>
          <w:sz w:val="20"/>
        </w:rPr>
        <w:t xml:space="preserve"> one CVR, collectively, the “Offer Price”), upon the terms and subject to the conditions set forth in this Letter of Transmittal and in the related Offer to Purchase, dated November 7, 2025 (the “Offer to Purchase,” which, together with this Letter of Transmittal, as each may be amended or supplemented from time to time, collectively constitute the “Offer”). The CVR Agreement contains important terms, conditions and other provisions relating to any potential payment in respect of the CVRs. It is possible that no payment or payment of less than $8.91 per CVR will become payable in respect of the CVRs. See Section 11—“The Merger Agreement; Other Agreements—CVR Agreement” of the Offer to Purchase. </w:t>
      </w:r>
    </w:p>
    <w:p>
      <w:pPr>
        <w:pStyle w:val="TextBody"/>
        <w:bidi w:val="0"/>
        <w:spacing w:before="240" w:after="0"/>
        <w:jc w:val="left"/>
        <w:rPr>
          <w:rFonts w:ascii="Times New Roman" w:hAnsi="Times New Roman"/>
          <w:sz w:val="20"/>
        </w:rPr>
      </w:pPr>
      <w:r>
        <w:rPr>
          <w:rFonts w:ascii="Times New Roman" w:hAnsi="Times New Roman"/>
          <w:sz w:val="20"/>
        </w:rPr>
        <w:t xml:space="preserve">The Offer expires at the Expiration Time. The term “Expiration Time” means one minute past 11:59 p.m., Eastern Time, on December 8, 2025, unless the expiration of the Offer is extended to a subsequent date in accordance with the terms of the Agreement and Plan of Merger, dated October 24, 2025 (as it may be amended from time to time, the “Merger Agreement”), by and among Adverum, Lilly and Purchaser, in which case the term “Expiration Time” means such subsequent time on such subsequent date. </w:t>
      </w:r>
    </w:p>
    <w:p>
      <w:pPr>
        <w:pStyle w:val="TextBody"/>
        <w:bidi w:val="0"/>
        <w:spacing w:before="240" w:after="0"/>
        <w:jc w:val="left"/>
        <w:rPr>
          <w:rFonts w:ascii="Times New Roman" w:hAnsi="Times New Roman"/>
          <w:sz w:val="20"/>
        </w:rPr>
      </w:pPr>
      <w:r>
        <w:rPr>
          <w:rFonts w:ascii="Times New Roman" w:hAnsi="Times New Roman"/>
          <w:sz w:val="20"/>
        </w:rPr>
        <w:t xml:space="preserve">You should use this Letter of Transmittal if you are tendering Shares represented by stock certificates or held in book-entry form on the books of Adverum’s stock transfer agent, Equiniti Trust Company, LLC (in such capacity, the “Transfer Agent”), or if the Shares are being tendered pursuant to the procedures for book-entry transfer as set forth in Section 3 of the Offer to Purchase or through The Depository Trust Company’s (“DTC”) Automated Tender Offer Program (“ATOP”) unless, in the case of Shares held or transferred in book-entry form or through ATOP, an Agent’s Message (as defined below) is being delivered to the Computershare Trust Company, N.A., the depositary and paying agent for the Offer (in such capacity, the “Depositary”) in lieu of this Letter of Transmittal. </w:t>
      </w:r>
      <w:r>
        <w:rPr>
          <w:rFonts w:ascii="Times New Roman" w:hAnsi="Times New Roman"/>
          <w:b/>
          <w:sz w:val="20"/>
        </w:rPr>
        <w:t>Delivery of the Letter of Transmittal or any other documents to DTC will not constitute delivery to the Depositary.</w:t>
      </w:r>
    </w:p>
    <w:p>
      <w:pPr>
        <w:pStyle w:val="TextBody"/>
        <w:bidi w:val="0"/>
        <w:spacing w:before="240" w:after="0"/>
        <w:jc w:val="left"/>
        <w:rPr>
          <w:rFonts w:ascii="Times New Roman" w:hAnsi="Times New Roman"/>
          <w:sz w:val="20"/>
        </w:rPr>
      </w:pPr>
      <w:r>
        <w:rPr>
          <w:rFonts w:ascii="Times New Roman" w:hAnsi="Times New Roman"/>
          <w:sz w:val="20"/>
        </w:rPr>
        <w:t xml:space="preserve">If any certificate representing any Shares you are tendering with this Letter of Transmittal has been lost, stolen or destroyed, you should contact the Transfer Agent at (800) 937-5449 (US &amp; Canada) and (718) 921-8124 (outside US &amp; Canada) regarding the requirements for replacement. You may be required to post a bond to secure against the risk that such certificates may be subsequently recirculated. You are urged to contact the Transfer Agent immediately in order to receive further instructions, for a determination of whether you will need to post a bond and to permit timely processing of this documentation. See Instruction 10. </w:t>
      </w:r>
    </w:p>
    <w:p>
      <w:pPr>
        <w:pStyle w:val="TextBody"/>
        <w:bidi w:val="0"/>
        <w:spacing w:before="240" w:after="0"/>
        <w:jc w:val="left"/>
        <w:rPr>
          <w:rFonts w:ascii="Times New Roman" w:hAnsi="Times New Roman"/>
          <w:b/>
          <w:sz w:val="20"/>
        </w:rPr>
      </w:pPr>
      <w:r>
        <w:rPr>
          <w:rFonts w:ascii="Times New Roman" w:hAnsi="Times New Roman"/>
          <w:b/>
          <w:sz w:val="20"/>
        </w:rPr>
        <w:t xml:space="preserve">IF TENDERED SHARES ARE BEING DELIVERED BY BOOK-ENTRY TRANSFER TO THE ACCOUNT MAINTAINED BY THE DEPOSITARY WITH DTC, COMPLETE THE FOLLOWING (ONLY FINANCIAL INSTITUTIONS THAT ARE PARTICIPANTS IN DTC MAY DELIVER SHARES BY BOOK-ENTRY TRANSFER):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Name of Tendering  Institution: </w:t>
            </w:r>
            <w:r>
              <w:rPr>
                <w:u w:val="single"/>
              </w:rPr>
              <w:t>                                </w:t>
            </w:r>
          </w:p>
        </w:tc>
      </w:tr>
      <w:tr>
        <w:trPr>
          <w:trHeight w:val="36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DTC Participant  Number: </w:t>
            </w:r>
            <w:r>
              <w:rPr>
                <w:u w:val="single"/>
              </w:rPr>
              <w:t xml:space="preserve">                                   </w:t>
            </w:r>
          </w:p>
        </w:tc>
      </w:tr>
      <w:tr>
        <w:trPr>
          <w:trHeight w:val="36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Transaction Code  Number: </w:t>
            </w:r>
            <w:r>
              <w:rPr>
                <w:u w:val="single"/>
              </w:rPr>
              <w:t>                                 </w:t>
            </w:r>
            <w:r>
              <w:rPr/>
              <w:t xml:space="preserve">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NOTE: SIGNATURES MUST BE PROVIDED BELOW. </w:t>
      </w:r>
    </w:p>
    <w:p>
      <w:pPr>
        <w:pStyle w:val="TextBody"/>
        <w:bidi w:val="0"/>
        <w:spacing w:before="120" w:after="0"/>
        <w:jc w:val="center"/>
        <w:rPr>
          <w:rFonts w:ascii="Times New Roman" w:hAnsi="Times New Roman"/>
          <w:b/>
          <w:sz w:val="20"/>
        </w:rPr>
      </w:pPr>
      <w:r>
        <w:rPr>
          <w:rFonts w:ascii="Times New Roman" w:hAnsi="Times New Roman"/>
          <w:b/>
          <w:sz w:val="20"/>
        </w:rPr>
        <w:t xml:space="preserve">PLEASE READ THE ACCOMPANYING INSTRUCTIONS CAREFULLY.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tenders to Flying Tigers Acquisition Corporation, a Delaware corporation (“Purchaser”) and a direct wholly-owned subsidiary of Eli Lilly and Company, an Indiana corporation (“Lilly”), the above-described shares of common stock, par value $0.0001 per share (the “Shares”), of Adverum Biotechnologies, Inc., a Delaware corporation (“Adverum”), in exchange for (i) $3.56 per Share, net to the stockholder in cash, without interest (the “Cash Consideration”) and less any applicable tax withholding, </w:t>
      </w:r>
      <w:r>
        <w:rPr>
          <w:rFonts w:ascii="Times New Roman" w:hAnsi="Times New Roman"/>
          <w:i/>
          <w:sz w:val="20"/>
        </w:rPr>
        <w:t>plus</w:t>
      </w:r>
      <w:r>
        <w:rPr>
          <w:rFonts w:ascii="Times New Roman" w:hAnsi="Times New Roman"/>
          <w:sz w:val="20"/>
        </w:rPr>
        <w:t xml:space="preserve"> (ii) one non-tradable contingent value right (“CVR”) per Share, which represents the contractual right to receive up to two contingent cash payments of up to an aggregate of $8.91 per CVR, net to the stockholder in cash, without interest and less any applicable tax withholding, upon the achievement of certain specified milestones, all in accordance with the terms and subject to the conditions and other provisions of a contingent value rights agreement (the “CVR Agreement”) to be entered into by and among Lilly, Computershare, Inc., a Delaware corporation (“Computershare”), and its affiliate, Computershare Trust Company, N.A., a federally chartered trust company (“Computershare Trust” and, together with Computershare, the “Rights Agent”) (the Cash Consideration </w:t>
      </w:r>
      <w:r>
        <w:rPr>
          <w:rFonts w:ascii="Times New Roman" w:hAnsi="Times New Roman"/>
          <w:i/>
          <w:sz w:val="20"/>
        </w:rPr>
        <w:t>plus</w:t>
      </w:r>
      <w:r>
        <w:rPr>
          <w:rFonts w:ascii="Times New Roman" w:hAnsi="Times New Roman"/>
          <w:sz w:val="20"/>
        </w:rPr>
        <w:t xml:space="preserve"> one CVR, collectively, the “Offer Price”), upon the terms and subject to the conditions set forth in the Offer to Purchase, dated November 7, 2025, which the undersigned hereby acknowledges the undersigned has received (the “Offer to Purchase,” which, together with this Letter of Transmittal, as each may be amended or supplemented from time to time, collectively constitute the “Offer”). The CVR Agreement contains important terms, conditions and other provisions relating to any potential payment in respect of the CVRs. It is possible that no payment or payment of less than $8.91 per CVR will become payable in respect of the CVRs. See Section 11—“The Merger Agreement; Other Agreements—CVR Agreement” of the Offer to Purchase. </w:t>
      </w:r>
    </w:p>
    <w:p>
      <w:pPr>
        <w:pStyle w:val="TextBody"/>
        <w:bidi w:val="0"/>
        <w:spacing w:before="240" w:after="0"/>
        <w:jc w:val="left"/>
        <w:rPr>
          <w:rFonts w:ascii="Times New Roman" w:hAnsi="Times New Roman"/>
          <w:sz w:val="20"/>
        </w:rPr>
      </w:pPr>
      <w:r>
        <w:rPr>
          <w:rFonts w:ascii="Times New Roman" w:hAnsi="Times New Roman"/>
          <w:sz w:val="20"/>
        </w:rPr>
        <w:t xml:space="preserve">The Offer expires at the Expiration Time. The term “Expiration Time” means one minute past 11:59 p.m., Eastern Time, on December 8, 2025, unless the expiration of the Offer is extended to a subsequent date in accordance with the terms of the Merger Agreement, in which case the term “Expiration Time” means such subsequent time on such subsequent date.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acknowledges that Purchaser reserves the right to transfer or assign, from time to time, in whole or in part, to one or more of its direct or indirect wholly-owned subsidiaries of Lilly, without the consent of Adverum, the right to purchase the Shares tendered herewith. </w:t>
      </w:r>
    </w:p>
    <w:p>
      <w:pPr>
        <w:pStyle w:val="TextBody"/>
        <w:bidi w:val="0"/>
        <w:spacing w:before="240" w:after="0"/>
        <w:jc w:val="left"/>
        <w:rPr>
          <w:rFonts w:ascii="Times New Roman" w:hAnsi="Times New Roman"/>
          <w:sz w:val="20"/>
        </w:rPr>
      </w:pPr>
      <w:r>
        <w:rPr>
          <w:rFonts w:ascii="Times New Roman" w:hAnsi="Times New Roman"/>
          <w:sz w:val="20"/>
        </w:rPr>
        <w:t xml:space="preserve">Upon the terms and subject to the conditions of the Offer (including, if the Offer is extended or amended, the terms and conditions of such extension or amendment), subject to, and effective upon, acceptance for payment of the Shares validly tendered herewith and not validly withdrawn prior to the Expiration Time in accordance with the terms of the Offer, the undersigned hereby sells, assigns and transfers to, or upon the order of, Purchaser, all right, title and interest in and to all of the Shares being tendered hereby and any and all dividends, distributions, rights, other Shares or other securities issued or issuable in respect of such Shares on or after the date hereof (collectively, “Distributions”). In addition, subject to, and effective upon, acceptance for payment of the Shares validly tendered herewith and not validly withdrawn prior to the Expiration Time in accordance with the terms of the Offer, the undersigned hereby irrevocably appoints each of the designees of Purchaser as the attorneys-in-fact and proxies of the undersigned with respect to such Shares and any and all Distributions, with full power of substitution (such proxies and power of attorney being deemed to be an irrevocable power coupled with an interest in the tendered Shares and any Distributions), to the full extent of such stockholder’s rights with respect to such Shares and any Distributions (i) to deliver certificates representing such Shares (the “Share Certificates”) and any and all Distributions, or transfer of ownership of such Shares and any and all Distributions on the account books maintained by The Depository Trust Company (“DTC”), together, in either such case, with all accompanying evidence of transfer and authenticity, to or upon the order of Purchaser, (ii) to present such Shares and any and all Distributions for transfer on the books of Adverum, and (iii) to receive all benefits and otherwise exercise all rights of beneficial ownership of such Shares and any Distributions, all upon the terms and subject to the conditions of the Offer.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 executing this Letter of Transmittal (or taking action resulting in the delivery of an Agent’s Message (as defined below)), the undersigned hereby irrevocably appoints each of the designees of Purchaser as the attorneys-in-fact and proxies of the undersigned, each with full power of substitution, to the full extent of such stockholder’s rights with respect to the Shares tendered hereby and not validly withdrawn that have been accepted for payment by Purchaser and with respect to any and all Distributions. The designees of Purchaser will, with respect to such Shares and Distributions, be empowered to exercise all voting and any other rights of such stockholder, as they, in their sole discretion, may deem proper at any annual, special, adjourned or postponed meeting of Adverum’s stockholders, by written consent in lieu of any such meeting or otherwise as they, in their sole discretion, deem proper with respect to all Shares and any and all Distributions. This proxy and power of attorney shall be irrevocable and coupled with an interest in the tendered Shares and any and all Distributions. Such appointment is effective when, and only to the extent that, Purchaser accepts the Shares tendered with this Letter of Transmittal for payment pursuant to the Offer. Upon the effectiveness of such appointment, without further action, all prior powers of attorney, proxies and consents given by the undersigned with respect to such Shares and any and all associated Distributions (other than prior powers of attorney, proxies or consent given by the undersigned to Purchaser or Adverum) will be revoked, and no subsequent powers of attorney, proxies, consents or revocations (other than powers of attorney, proxies, consents or revocations given to Purchaser or Adverum) may be given (and, if given, will not be deemed effective). </w:t>
      </w:r>
    </w:p>
    <w:p>
      <w:pPr>
        <w:pStyle w:val="TextBody"/>
        <w:bidi w:val="0"/>
        <w:spacing w:before="240" w:after="0"/>
        <w:jc w:val="left"/>
        <w:rPr>
          <w:rFonts w:ascii="Times New Roman" w:hAnsi="Times New Roman"/>
          <w:sz w:val="20"/>
        </w:rPr>
      </w:pPr>
      <w:r>
        <w:rPr>
          <w:rFonts w:ascii="Times New Roman" w:hAnsi="Times New Roman"/>
          <w:sz w:val="20"/>
        </w:rPr>
        <w:t xml:space="preserve">Purchaser reserves the right to require that, in order for Shares to be deemed validly tendered, immediately upon Purchaser’s acceptance for payment of such Shares, Purchaser must be able to exercise full voting, consent and other rights with respect to such Shares and other related securities or rights, including voting at any meeting of stockholders of Adverum or executing a written consent concerning any matter.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represents and warrants that the undersigned has full power and authority to tender, sell, assign and transfer any and all of the Shares tendered hereby and any and all Distributions and, when the same are accepted for payment by Purchaser, Purchaser will acquire good, marketable and unencumbered title thereto, free and clear of all liens, restrictions, charges and encumbrances, and that the same will not be subject to any adverse claims. The undersigned hereby represents and warrants that (i) the undersigned is the holder of record of the Shares, (ii) the Share Certificate(s) have been endorsed to the undersigned in blank, or (iii) the undersigned is a participant in DTC whose name appears on a security position listing as the owner of the Shares. The undersigned will, upon request, execute and deliver any additional documents deemed by Computershare Trust Company, N.A., the depositary and paying agent for the Offer (in such capacity, the “Depositary”) or Purchaser to be necessary or desirable to complete the sale, assignment and transfer of any and all of the Shares tendered hereby and any and all Distributions. In addition, the undersigned shall promptly remit and transfer to the Depositary for the account of Purchaser any and all Distributions in respect of any and all of the Shares tendered hereby, accompanied by appropriate documentation of transfer and, pending such remittance and transfer or appropriate assurance thereof, Purchaser shall be entitled to all rights and privileges as owner of any such Distributions and may withhold the entire Offer Price or deduct from such Offer Price the amount or value thereof, as determined by Purchaser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It is understood that the undersigned will not receive payment for the Shares unless and until the Shares are accepted for payment and until the Share Certificate(s) owned by the undersigned (if any) are timely received by the Depositary at the address set forth above, together with such additional documents as the Depositary may require, or, in the case of Shares held in book-entry form, ownership of Shares is validly and timely transferred on the account books maintained by DTC, and until the same are processed for payment by the Depositary. </w:t>
      </w:r>
    </w:p>
    <w:p>
      <w:pPr>
        <w:pStyle w:val="TextBody"/>
        <w:bidi w:val="0"/>
        <w:spacing w:before="240" w:after="0"/>
        <w:jc w:val="left"/>
        <w:rPr>
          <w:rFonts w:ascii="Times New Roman" w:hAnsi="Times New Roman"/>
          <w:b/>
          <w:sz w:val="20"/>
        </w:rPr>
      </w:pPr>
      <w:r>
        <w:rPr>
          <w:rFonts w:ascii="Times New Roman" w:hAnsi="Times New Roman"/>
          <w:b/>
          <w:sz w:val="20"/>
        </w:rPr>
        <w:t xml:space="preserve">IT IS UNDERSTOOD THAT THE METHOD OF DELIVERY OF THE SHARES, THE SHARE CERTIFICATE(S) (IF ANY) AND ALL OTHER REQUIRED DOCUMENTS (INCLUDING DELIVERY THROUGH DTC) IS AT THE ELECTION AND RISK OF THE UNDERSIGNED AND THAT THE RISK OF LOSS OF SUCH SHARES, SHARE CERTIFICATE(S) (IF ANY) AND OTHER DOCUMENTS SHALL PASS ONLY AFTER THE DEPOSITARY HAS ACTUALLY RECEIVED THE SHARES OR SHARE CERTIFICATE(S) (IF ANY) (INCLUDING, IN THE CASE OF A BOOK-ENTRY TRANSFER, BY BOOK-ENTRY CONFIRMATION (AS DEFINED BELOW)). IF DELIVERY IS BY MAIL, IT IS RECOMMENDED THAT ALL SUCH DOCUMENTS BE SENT BY PROPERLY INSURED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REGISTERED MAIL WITH RETURN RECEIPT REQUESTED. IN ALL CASES, SUFFICIENT TIME SHOULD BE ALLOWED TO ENSURE TIMELY DELIVERY PRIOR TO THE EXPIRATION TIME. </w:t>
      </w:r>
    </w:p>
    <w:p>
      <w:pPr>
        <w:pStyle w:val="TextBody"/>
        <w:bidi w:val="0"/>
        <w:spacing w:before="240" w:after="0"/>
        <w:jc w:val="left"/>
        <w:rPr>
          <w:rFonts w:ascii="Times New Roman" w:hAnsi="Times New Roman"/>
          <w:sz w:val="20"/>
        </w:rPr>
      </w:pPr>
      <w:r>
        <w:rPr>
          <w:rFonts w:ascii="Times New Roman" w:hAnsi="Times New Roman"/>
          <w:sz w:val="20"/>
        </w:rPr>
        <w:t xml:space="preserve">All authority conferred or agreed to be conferred pursuant to this Letter of Transmittal shall not be affected by, and shall survive, the death or incapacity of the undersigned and any obligation of the undersigned hereunder shall be binding upon the heirs, executors, administrators, trustees in bankruptcy, personal representatives, successors and assigns of the undersigned. Except upon the terms and subject to the conditions of the Offer, a tender pursuant to this Letter of Transmittal is irrevocable.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understands that the acceptance for payment by Purchaser of Shares tendered pursuant to one of the procedures described in Section 3 of the Offer to Purchase and in the instructions hereto will constitute a binding agreement between the undersigned and Purchaser upon the terms and subject to the conditions of the Offer. The undersigned recognizes that under certain circumstances, upon the terms and subject to the conditions of the Offer, Purchaser may not be required to accept for payment any of the Shares tendered hereby. Without limiting the foregoing, if the Offer Price is amended in accordance with the terms of the Merger Agreement, the price to be paid to the undersigned will be the amended price notwithstanding the fact that a different price is stated in this Letter of Transmittal.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understands that the CVRs will not be transferable except (a) by will or intestacy upon death of a holder, (b) by instrument to an </w:t>
      </w:r>
      <w:r>
        <w:rPr>
          <w:rFonts w:ascii="Times New Roman" w:hAnsi="Times New Roman"/>
          <w:i/>
          <w:sz w:val="20"/>
        </w:rPr>
        <w:t>inter vivos</w:t>
      </w:r>
      <w:r>
        <w:rPr>
          <w:rFonts w:ascii="Times New Roman" w:hAnsi="Times New Roman"/>
          <w:sz w:val="20"/>
        </w:rPr>
        <w:t xml:space="preserve"> or testamentary trust in which the CVRs are to be passed to beneficiaries upon the death of the settlor, (c) pursuant to a court order, (d) by operation of law (including by consolidation or merger of the holder) or if effectuated without consideration in connection with the dissolution, liquidation or termination of any holder that is a corporation, limited liability company, partnership or other entity, (e) in the case of CVRs held in book-entry or other similar nominee form, from a nominee to a beneficial owner and, if applicable, through an intermediary, (f) if the holder is a partnership or limited liability company, a distribution by the transferring partnership or limited liability company to its partners or members, as applicable (so long as such distribution or transfer does not subject the CVRs to a requirement of registration under the Securities Act of 1933, as amended or the Securities Exchange Act of 1934, as amended (the “Exchange Act”) or (g) to Lilly in connection with the abandonment of such CVR by the applicable holder. The undersigned further understands that the CVRs will not be evidenced by a certificate or other instrument, will not have any voting or dividend rights and will not represent any equity or ownership interest in Lilly, Purchaser or Adverum or any of their affiliates or subsidiaries (including the Surviving Corporation (as defined in the Merger Agreement)), and no interest will accrue or be payable in respect of any amount that may become payable in respect of the CVRs. The undersigned understands that the CVRs will be registered in the name of the undersigned. The undersigned understands that the CVRs will not be registered with the U.S. Securities and Exchange Commission or listed for trading.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herein under “Special Payment Instructions,” please issue the check for the Cash Consideration in the name(s) of, and/or return any Share Certificates representing Shares not validly tendered or accepted for payment to, the holder(s) of record appearing under “Description of Shares Tendered.” Similarly, unless otherwise indicated under “Special Delivery Instructions,” please mail the check for the Cash Consideration and/or return any Share Certificates representing Shares not validly tendered or accepted for payment (and accompanying documents, as appropriate) to the address(es) of the holder(s) of record appearing under “Description of Shares Tendered.” Subject to the terms and conditions of the CVR Agreement, please make any payment regarding the CVRs, if and to the extent due and payable, as directed herein for payment of the Cash Consideration and enter in the CVR register to be maintained by the Rights Agent pursuant to the CVR Agreement the name(s) and address(es) appearing on the cover page of this Letter of Transmittal for each registered holder. The undersigned recognizes that Purchaser has no obligation, pursuant to the Special Payment Instructions, to transfer any Shares from the name(s) of the registered holder(s) thereof if Purchaser does not accept for payment any of the Shares so tendered.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both the Special Delivery Instructions and the Special Payment Instructions are completed, please issue the check for the Cash Consideration and/or issue any Share Certificates representing Shares not validly tendered or accepted for payment (and any accompanying documents, as appropriate) in the name of,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deliver such check and/or return such Share Certificates (and any accompanying documents, as appropriate) to, the person or persons so indicated. Unless otherwise indicated herein in the box titled “Special Payment Instructions,” please credit any Shares validly tendered hereby or by an Agent’s Message and delivered by book-entry transfer, but which are not purchased, by crediting the account at DTC designated above. The undersigned recognizes that Purchaser has no obligation pursuant to the Special Payment Instructions to transfer any Shares from the name of the holder of record thereof if Purchaser does not accept for payment any of the Shares so validly tendered.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58"/>
        <w:gridCol w:w="202"/>
        <w:gridCol w:w="60"/>
        <w:gridCol w:w="100"/>
        <w:gridCol w:w="5785"/>
      </w:tblGrid>
      <w:tr>
        <w:trPr/>
        <w:tc>
          <w:tcPr>
            <w:tcW w:w="4058"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5785" w:type="dxa"/>
            <w:tcBorders/>
            <w:vAlign w:val="center"/>
          </w:tcPr>
          <w:p>
            <w:pPr>
              <w:pStyle w:val="TableContents"/>
              <w:bidi w:val="0"/>
              <w:spacing w:before="0" w:after="283"/>
              <w:jc w:val="left"/>
              <w:rPr>
                <w:sz w:val="4"/>
                <w:szCs w:val="4"/>
              </w:rPr>
            </w:pPr>
            <w:r>
              <w:rPr>
                <w:sz w:val="4"/>
                <w:szCs w:val="4"/>
              </w:rPr>
            </w:r>
          </w:p>
        </w:tc>
      </w:tr>
      <w:tr>
        <w:trPr/>
        <w:tc>
          <w:tcPr>
            <w:tcW w:w="4058"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0"/>
              <w:jc w:val="center"/>
              <w:rPr>
                <w:rFonts w:ascii="Times New Roman" w:hAnsi="Times New Roman"/>
                <w:b/>
                <w:sz w:val="20"/>
              </w:rPr>
            </w:pPr>
            <w:r>
              <w:rPr>
                <w:rFonts w:ascii="Times New Roman" w:hAnsi="Times New Roman"/>
                <w:b/>
                <w:sz w:val="20"/>
              </w:rPr>
              <w:t>SPECIAL PAYMENT INSTRUCTIONS</w:t>
            </w:r>
          </w:p>
          <w:p>
            <w:pPr>
              <w:pStyle w:val="TableContents"/>
              <w:bidi w:val="0"/>
              <w:spacing w:before="0" w:after="0"/>
              <w:jc w:val="center"/>
              <w:rPr>
                <w:rFonts w:ascii="Times New Roman" w:hAnsi="Times New Roman"/>
                <w:b/>
                <w:sz w:val="20"/>
              </w:rPr>
            </w:pPr>
            <w:r>
              <w:rPr>
                <w:rFonts w:ascii="Times New Roman" w:hAnsi="Times New Roman"/>
                <w:b/>
                <w:sz w:val="20"/>
              </w:rPr>
              <w:t>(See Instructions 1, 4, 5 and 7)</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To be completed ONLY if Share Certificate(s) not validly tendered or not accepted for payment and/or the check for the Cash Consideration for Shares validly tendered and accepted for payment are to be issued in the name of someone other than the undersigned.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Issue: ☐ Check and/or</w:t>
            </w:r>
          </w:p>
          <w:p>
            <w:pPr>
              <w:pStyle w:val="TableContents"/>
              <w:bidi w:val="0"/>
              <w:spacing w:before="0" w:after="0"/>
              <w:jc w:val="left"/>
              <w:rPr/>
            </w:pPr>
            <w:r>
              <w:rPr/>
              <w:t>    ☐ </w:t>
            </w:r>
            <w:r>
              <w:rPr>
                <w:rFonts w:ascii="Times New Roman" w:hAnsi="Times New Roman"/>
                <w:sz w:val="20"/>
              </w:rPr>
              <w:t>Share Certificates to:</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Name:  </w:t>
            </w:r>
            <w:r>
              <w:rPr>
                <w:rFonts w:ascii="Times New Roman" w:hAnsi="Times New Roman"/>
                <w:sz w:val="20"/>
                <w:u w:val="single"/>
              </w:rPr>
              <w:t>              </w:t>
            </w:r>
          </w:p>
          <w:p>
            <w:pPr>
              <w:pStyle w:val="TableContents"/>
              <w:bidi w:val="0"/>
              <w:spacing w:before="0" w:after="0"/>
              <w:jc w:val="center"/>
              <w:rPr/>
            </w:pPr>
            <w:r>
              <w:rPr/>
              <w:t>      </w:t>
            </w:r>
            <w:r>
              <w:rPr>
                <w:rFonts w:ascii="Times New Roman" w:hAnsi="Times New Roman"/>
                <w:b/>
                <w:sz w:val="16"/>
              </w:rPr>
              <w:t>(Please Print)</w:t>
            </w:r>
          </w:p>
          <w:p>
            <w:pPr>
              <w:pStyle w:val="TableContents"/>
              <w:bidi w:val="0"/>
              <w:spacing w:before="0" w:after="0"/>
              <w:jc w:val="left"/>
              <w:rPr>
                <w:rFonts w:ascii="Times New Roman" w:hAnsi="Times New Roman"/>
                <w:sz w:val="20"/>
              </w:rPr>
            </w:pPr>
            <w:r>
              <w:rPr>
                <w:rFonts w:ascii="Times New Roman" w:hAnsi="Times New Roman"/>
                <w:sz w:val="20"/>
              </w:rPr>
              <w:t>Address: </w:t>
            </w:r>
            <w:r>
              <w:rPr>
                <w:rFonts w:ascii="Times New Roman" w:hAnsi="Times New Roman"/>
                <w:sz w:val="20"/>
                <w:u w:val="single"/>
              </w:rPr>
              <w:t>               </w:t>
            </w:r>
          </w:p>
          <w:p>
            <w:pPr>
              <w:pStyle w:val="TableContents"/>
              <w:bidi w:val="0"/>
              <w:spacing w:before="0" w:after="0"/>
              <w:jc w:val="center"/>
              <w:rPr/>
            </w:pPr>
            <w:r>
              <w:rPr/>
              <w:t>      </w:t>
            </w:r>
            <w:r>
              <w:rPr>
                <w:rFonts w:ascii="Times New Roman" w:hAnsi="Times New Roman"/>
                <w:b/>
                <w:sz w:val="16"/>
              </w:rPr>
              <w:t>(Include Zip Code)</w:t>
            </w:r>
          </w:p>
          <w:p>
            <w:pPr>
              <w:pStyle w:val="TableContents"/>
              <w:pBdr>
                <w:bottom w:val="single" w:sz="2" w:space="1" w:color="000000"/>
              </w:pBdr>
              <w:bidi w:val="0"/>
              <w:spacing w:before="0" w:after="0"/>
              <w:jc w:val="left"/>
              <w:rPr/>
            </w:pPr>
            <w:r>
              <w:rPr/>
              <w:t>  </w:t>
            </w:r>
          </w:p>
          <w:p>
            <w:pPr>
              <w:pStyle w:val="TableContents"/>
              <w:bidi w:val="0"/>
              <w:spacing w:before="0" w:after="20"/>
              <w:jc w:val="left"/>
              <w:rPr/>
            </w:pPr>
            <w:r>
              <w:rPr/>
              <w:t> </w:t>
            </w:r>
          </w:p>
        </w:tc>
        <w:tc>
          <w:tcPr>
            <w:tcW w:w="20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right w:val="single" w:sz="2" w:space="0" w:color="000000"/>
            </w:tcBorders>
            <w:tcMar>
              <w:right w:w="28" w:type="dxa"/>
            </w:tcMar>
          </w:tcPr>
          <w:p>
            <w:pPr>
              <w:pStyle w:val="TableContents"/>
              <w:bidi w:val="0"/>
              <w:spacing w:before="0" w:after="283"/>
              <w:jc w:val="left"/>
              <w:rPr/>
            </w:pPr>
            <w:r>
              <w:rPr/>
              <w:t> </w:t>
            </w:r>
          </w:p>
        </w:tc>
        <w:tc>
          <w:tcPr>
            <w:tcW w:w="10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5785"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center"/>
              <w:rPr>
                <w:rFonts w:ascii="Times New Roman" w:hAnsi="Times New Roman"/>
                <w:b/>
                <w:sz w:val="20"/>
              </w:rPr>
            </w:pPr>
            <w:r>
              <w:rPr>
                <w:rFonts w:ascii="Times New Roman" w:hAnsi="Times New Roman"/>
                <w:b/>
                <w:sz w:val="20"/>
              </w:rPr>
              <w:t>SPECIAL DELIVERY INSTRUCTIONS</w:t>
            </w:r>
          </w:p>
          <w:p>
            <w:pPr>
              <w:pStyle w:val="TableContents"/>
              <w:bidi w:val="0"/>
              <w:spacing w:before="0" w:after="0"/>
              <w:jc w:val="center"/>
              <w:rPr>
                <w:rFonts w:ascii="Times New Roman" w:hAnsi="Times New Roman"/>
                <w:b/>
                <w:sz w:val="20"/>
              </w:rPr>
            </w:pPr>
            <w:r>
              <w:rPr>
                <w:rFonts w:ascii="Times New Roman" w:hAnsi="Times New Roman"/>
                <w:b/>
                <w:sz w:val="20"/>
              </w:rPr>
              <w:t>(See Instructions 1, 4, 5 and 7)</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To be completed ONLY if Share Certificate(s) not validly tendered or not accepted for payment and/or the check for the Cash Consideration for Shares validly tendered and accepted for payment are to be sent to someone other than the undersigned or to the undersigned at an address other than that shown in the box titled “Description of Shares Tendered” above.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Issue: ☐ Check and/or</w:t>
            </w:r>
          </w:p>
          <w:p>
            <w:pPr>
              <w:pStyle w:val="TableContents"/>
              <w:bidi w:val="0"/>
              <w:spacing w:before="0" w:after="0"/>
              <w:jc w:val="left"/>
              <w:rPr/>
            </w:pPr>
            <w:r>
              <w:rPr/>
              <w:t>    ☐ </w:t>
            </w:r>
            <w:r>
              <w:rPr>
                <w:rFonts w:ascii="Times New Roman" w:hAnsi="Times New Roman"/>
                <w:sz w:val="20"/>
              </w:rPr>
              <w:t>Share Certificates to:</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Name:    </w:t>
            </w:r>
            <w:r>
              <w:rPr>
                <w:rFonts w:ascii="Times New Roman" w:hAnsi="Times New Roman"/>
                <w:sz w:val="20"/>
                <w:u w:val="single"/>
              </w:rPr>
              <w:t xml:space="preserve">                    </w:t>
            </w:r>
          </w:p>
          <w:p>
            <w:pPr>
              <w:pStyle w:val="TableContents"/>
              <w:bidi w:val="0"/>
              <w:spacing w:before="0" w:after="0"/>
              <w:jc w:val="center"/>
              <w:rPr/>
            </w:pPr>
            <w:r>
              <w:rPr/>
              <w:t>       </w:t>
            </w:r>
            <w:r>
              <w:rPr>
                <w:rFonts w:ascii="Times New Roman" w:hAnsi="Times New Roman"/>
                <w:b/>
                <w:sz w:val="16"/>
              </w:rPr>
              <w:t>(Please Print)</w:t>
            </w:r>
          </w:p>
          <w:p>
            <w:pPr>
              <w:pStyle w:val="TableContents"/>
              <w:bidi w:val="0"/>
              <w:spacing w:before="0" w:after="0"/>
              <w:jc w:val="left"/>
              <w:rPr>
                <w:rFonts w:ascii="Times New Roman" w:hAnsi="Times New Roman"/>
                <w:sz w:val="20"/>
              </w:rPr>
            </w:pPr>
            <w:r>
              <w:rPr>
                <w:rFonts w:ascii="Times New Roman" w:hAnsi="Times New Roman"/>
                <w:sz w:val="20"/>
              </w:rPr>
              <w:t>Address:  </w:t>
            </w:r>
            <w:r>
              <w:rPr>
                <w:rFonts w:ascii="Times New Roman" w:hAnsi="Times New Roman"/>
                <w:sz w:val="20"/>
                <w:u w:val="single"/>
              </w:rPr>
              <w:t>                    </w:t>
            </w:r>
          </w:p>
          <w:p>
            <w:pPr>
              <w:pStyle w:val="TableContents"/>
              <w:bidi w:val="0"/>
              <w:spacing w:before="0" w:after="20"/>
              <w:jc w:val="center"/>
              <w:rPr/>
            </w:pPr>
            <w:r>
              <w:rPr/>
              <w:t>        </w:t>
            </w:r>
            <w:r>
              <w:rPr>
                <w:rFonts w:ascii="Times New Roman" w:hAnsi="Times New Roman"/>
                <w:b/>
                <w:sz w:val="16"/>
              </w:rPr>
              <w:t>(Include Zip Code)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IMPORTANT—SIGN HERE </w:t>
      </w:r>
    </w:p>
    <w:p>
      <w:pPr>
        <w:pStyle w:val="TextBody"/>
        <w:bidi w:val="0"/>
        <w:spacing w:before="0" w:after="0"/>
        <w:jc w:val="center"/>
        <w:rPr>
          <w:rFonts w:ascii="Times New Roman" w:hAnsi="Times New Roman"/>
          <w:b/>
          <w:sz w:val="20"/>
        </w:rPr>
      </w:pPr>
      <w:r>
        <w:rPr>
          <w:rFonts w:ascii="Times New Roman" w:hAnsi="Times New Roman"/>
          <w:b/>
          <w:sz w:val="20"/>
        </w:rPr>
        <w:t>(U.S. Holders Please Also Complete the Enclosed IRS Form W-9)</w:t>
      </w:r>
    </w:p>
    <w:p>
      <w:pPr>
        <w:pStyle w:val="TextBody"/>
        <w:bidi w:val="0"/>
        <w:spacing w:before="0" w:after="0"/>
        <w:jc w:val="center"/>
        <w:rPr>
          <w:rFonts w:ascii="Times New Roman" w:hAnsi="Times New Roman"/>
          <w:b/>
          <w:sz w:val="20"/>
        </w:rPr>
      </w:pPr>
      <w:r>
        <w:rPr>
          <w:rFonts w:ascii="Times New Roman" w:hAnsi="Times New Roman"/>
          <w:b/>
          <w:sz w:val="20"/>
        </w:rPr>
        <w:t xml:space="preserve">(Non-U.S. Holders Please Obtain and Complete IRS Form W-8BEN or W-8BEN-E or Other </w:t>
      </w:r>
    </w:p>
    <w:p>
      <w:pPr>
        <w:pStyle w:val="TextBody"/>
        <w:bidi w:val="0"/>
        <w:spacing w:before="0" w:after="0"/>
        <w:jc w:val="center"/>
        <w:rPr>
          <w:rFonts w:ascii="Times New Roman" w:hAnsi="Times New Roman"/>
          <w:b/>
          <w:sz w:val="20"/>
        </w:rPr>
      </w:pPr>
      <w:r>
        <w:rPr>
          <w:rFonts w:ascii="Times New Roman" w:hAnsi="Times New Roman"/>
          <w:b/>
          <w:sz w:val="20"/>
        </w:rPr>
        <w:t>Applicable IRS Form W-8)</w:t>
      </w:r>
    </w:p>
    <w:p>
      <w:pPr>
        <w:pStyle w:val="TextBody"/>
        <w:bidi w:val="0"/>
        <w:spacing w:before="0" w:after="0"/>
        <w:jc w:val="center"/>
        <w:rPr>
          <w:rFonts w:ascii="Times New Roman" w:hAnsi="Times New Roman"/>
          <w:b/>
          <w:sz w:val="20"/>
        </w:rPr>
      </w:pPr>
      <w:r>
        <w:rPr>
          <w:rFonts w:ascii="Times New Roman" w:hAnsi="Times New Roman"/>
          <w:b/>
          <w:sz w:val="20"/>
        </w:rPr>
        <w:t xml:space="preserve">(Signature(s) of Stockholder(s)) </w:t>
      </w:r>
    </w:p>
    <w:p>
      <w:pPr>
        <w:pStyle w:val="TextBody"/>
        <w:bidi w:val="0"/>
        <w:spacing w:before="240" w:after="0"/>
        <w:jc w:val="center"/>
        <w:rPr>
          <w:rFonts w:ascii="Times New Roman" w:hAnsi="Times New Roman"/>
          <w:sz w:val="20"/>
        </w:rPr>
      </w:pPr>
      <w:r>
        <w:rPr>
          <w:rFonts w:ascii="Times New Roman" w:hAnsi="Times New Roman"/>
          <w:sz w:val="20"/>
        </w:rPr>
        <w:t xml:space="preserve">Dated: </w:t>
      </w:r>
      <w:r>
        <w:rPr>
          <w:rFonts w:ascii="Times New Roman" w:hAnsi="Times New Roman"/>
          <w:sz w:val="20"/>
          <w:u w:val="single"/>
        </w:rPr>
        <w:t>     </w:t>
      </w:r>
      <w:r>
        <w:rPr>
          <w:rFonts w:ascii="Times New Roman" w:hAnsi="Times New Roman"/>
          <w:sz w:val="20"/>
        </w:rPr>
        <w:t>, 20</w:t>
      </w:r>
      <w:r>
        <w:rPr>
          <w:rFonts w:ascii="Times New Roman" w:hAnsi="Times New Roman"/>
          <w:sz w:val="20"/>
          <w:u w:val="single"/>
        </w:rPr>
        <w:t>  </w:t>
      </w:r>
    </w:p>
    <w:p>
      <w:pPr>
        <w:pStyle w:val="TextBody"/>
        <w:bidi w:val="0"/>
        <w:spacing w:before="240" w:after="0"/>
        <w:jc w:val="left"/>
        <w:rPr>
          <w:rFonts w:ascii="Times New Roman" w:hAnsi="Times New Roman"/>
          <w:sz w:val="20"/>
        </w:rPr>
      </w:pPr>
      <w:r>
        <w:rPr>
          <w:rFonts w:ascii="Times New Roman" w:hAnsi="Times New Roman"/>
          <w:sz w:val="20"/>
        </w:rPr>
        <w:t xml:space="preserve">(Must be signed by holder(s) of record exactly as name(s) appear(s) on Share Certificate(s) or on a security position listing or by person(s) authorized to become holder(s) of record by certificates and documents transmitted herewith. If signature is by trustees, executors, administrators, guardians, attorneys-in-fact, officers of corporations or others acting in a fiduciary or representative capacity, please set forth full title and see Instruction 5. For information concerning signature guarantees, see Instruction 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75"/>
        <w:gridCol w:w="203"/>
        <w:gridCol w:w="6227"/>
      </w:tblGrid>
      <w:tr>
        <w:trPr/>
        <w:tc>
          <w:tcPr>
            <w:tcW w:w="377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6227" w:type="dxa"/>
            <w:tcBorders/>
            <w:vAlign w:val="center"/>
          </w:tcPr>
          <w:p>
            <w:pPr>
              <w:pStyle w:val="TableContents"/>
              <w:bidi w:val="0"/>
              <w:spacing w:before="0" w:after="283"/>
              <w:jc w:val="left"/>
              <w:rPr>
                <w:sz w:val="4"/>
                <w:szCs w:val="4"/>
              </w:rPr>
            </w:pPr>
            <w:r>
              <w:rPr>
                <w:sz w:val="4"/>
                <w:szCs w:val="4"/>
              </w:rPr>
            </w:r>
          </w:p>
        </w:tc>
      </w:tr>
      <w:tr>
        <w:trPr/>
        <w:tc>
          <w:tcPr>
            <w:tcW w:w="3775"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203" w:type="dxa"/>
            <w:tcBorders/>
            <w:vAlign w:val="bottom"/>
          </w:tcPr>
          <w:p>
            <w:pPr>
              <w:pStyle w:val="TableContents"/>
              <w:bidi w:val="0"/>
              <w:spacing w:before="0" w:after="283"/>
              <w:jc w:val="left"/>
              <w:rPr/>
            </w:pPr>
            <w:r>
              <w:rPr/>
              <w:t>  </w:t>
            </w:r>
          </w:p>
        </w:tc>
        <w:tc>
          <w:tcPr>
            <w:tcW w:w="6227" w:type="dxa"/>
            <w:tcBorders/>
            <w:vAlign w:val="bottom"/>
          </w:tcPr>
          <w:p>
            <w:pPr>
              <w:pStyle w:val="TableContents"/>
              <w:pBdr>
                <w:bottom w:val="single" w:sz="2" w:space="1" w:color="000000"/>
              </w:pBdr>
              <w:bidi w:val="0"/>
              <w:spacing w:before="0" w:after="20"/>
              <w:jc w:val="right"/>
              <w:rPr/>
            </w:pPr>
            <w:r>
              <w:rPr/>
              <w:t> </w:t>
            </w:r>
          </w:p>
        </w:tc>
      </w:tr>
      <w:tr>
        <w:trPr/>
        <w:tc>
          <w:tcPr>
            <w:tcW w:w="377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227" w:type="dxa"/>
            <w:tcBorders/>
            <w:vAlign w:val="bottom"/>
          </w:tcPr>
          <w:p>
            <w:pPr>
              <w:pStyle w:val="TableContents"/>
              <w:bidi w:val="0"/>
              <w:spacing w:before="0" w:after="283"/>
              <w:jc w:val="center"/>
              <w:rPr>
                <w:b/>
              </w:rPr>
            </w:pPr>
            <w:r>
              <w:rPr>
                <w:b/>
              </w:rPr>
              <w:t>(Please Print)</w:t>
            </w:r>
          </w:p>
        </w:tc>
      </w:tr>
      <w:tr>
        <w:trPr>
          <w:trHeight w:val="240" w:hRule="atLeast"/>
        </w:trPr>
        <w:tc>
          <w:tcPr>
            <w:tcW w:w="3775" w:type="dxa"/>
            <w:tcBorders/>
            <w:vAlign w:val="center"/>
          </w:tcPr>
          <w:p>
            <w:pPr>
              <w:pStyle w:val="TableContents"/>
              <w:bidi w:val="0"/>
              <w:spacing w:before="0" w:after="283"/>
              <w:jc w:val="left"/>
              <w:rPr>
                <w:sz w:val="4"/>
                <w:szCs w:val="4"/>
              </w:rPr>
            </w:pPr>
            <w:r>
              <w:rPr>
                <w:sz w:val="4"/>
                <w:szCs w:val="4"/>
              </w:rPr>
            </w:r>
          </w:p>
        </w:tc>
        <w:tc>
          <w:tcPr>
            <w:tcW w:w="6430" w:type="dxa"/>
            <w:gridSpan w:val="2"/>
            <w:tcBorders/>
            <w:vAlign w:val="center"/>
          </w:tcPr>
          <w:p>
            <w:pPr>
              <w:pStyle w:val="TableContents"/>
              <w:bidi w:val="0"/>
              <w:spacing w:before="0" w:after="283"/>
              <w:jc w:val="left"/>
              <w:rPr>
                <w:sz w:val="4"/>
                <w:szCs w:val="4"/>
              </w:rPr>
            </w:pPr>
            <w:r>
              <w:rPr>
                <w:sz w:val="4"/>
                <w:szCs w:val="4"/>
              </w:rPr>
            </w:r>
          </w:p>
        </w:tc>
      </w:tr>
      <w:tr>
        <w:trPr/>
        <w:tc>
          <w:tcPr>
            <w:tcW w:w="3775" w:type="dxa"/>
            <w:tcBorders/>
          </w:tcPr>
          <w:p>
            <w:pPr>
              <w:pStyle w:val="TableContents"/>
              <w:bidi w:val="0"/>
              <w:spacing w:before="0" w:after="0"/>
              <w:jc w:val="left"/>
              <w:rPr>
                <w:rFonts w:ascii="Times New Roman" w:hAnsi="Times New Roman"/>
                <w:sz w:val="20"/>
              </w:rPr>
            </w:pPr>
            <w:r>
              <w:rPr>
                <w:rFonts w:ascii="Times New Roman" w:hAnsi="Times New Roman"/>
                <w:sz w:val="20"/>
              </w:rPr>
              <w:t>Capacity (full title):</w:t>
            </w:r>
          </w:p>
        </w:tc>
        <w:tc>
          <w:tcPr>
            <w:tcW w:w="203" w:type="dxa"/>
            <w:tcBorders/>
            <w:vAlign w:val="bottom"/>
          </w:tcPr>
          <w:p>
            <w:pPr>
              <w:pStyle w:val="TableContents"/>
              <w:bidi w:val="0"/>
              <w:spacing w:before="0" w:after="283"/>
              <w:jc w:val="left"/>
              <w:rPr/>
            </w:pPr>
            <w:r>
              <w:rPr/>
              <w:t>  </w:t>
            </w:r>
          </w:p>
        </w:tc>
        <w:tc>
          <w:tcPr>
            <w:tcW w:w="6227" w:type="dxa"/>
            <w:tcBorders/>
          </w:tcPr>
          <w:p>
            <w:pPr>
              <w:pStyle w:val="TableContents"/>
              <w:pBdr>
                <w:bottom w:val="single" w:sz="2" w:space="1" w:color="000000"/>
              </w:pBdr>
              <w:bidi w:val="0"/>
              <w:spacing w:before="0" w:after="20"/>
              <w:jc w:val="right"/>
              <w:rPr/>
            </w:pPr>
            <w:r>
              <w:rPr/>
              <w:t>  </w:t>
            </w:r>
          </w:p>
        </w:tc>
      </w:tr>
      <w:tr>
        <w:trPr>
          <w:trHeight w:val="240" w:hRule="atLeast"/>
        </w:trPr>
        <w:tc>
          <w:tcPr>
            <w:tcW w:w="3775" w:type="dxa"/>
            <w:tcBorders/>
            <w:vAlign w:val="center"/>
          </w:tcPr>
          <w:p>
            <w:pPr>
              <w:pStyle w:val="TableContents"/>
              <w:bidi w:val="0"/>
              <w:spacing w:before="0" w:after="283"/>
              <w:jc w:val="left"/>
              <w:rPr>
                <w:sz w:val="4"/>
                <w:szCs w:val="4"/>
              </w:rPr>
            </w:pPr>
            <w:r>
              <w:rPr>
                <w:sz w:val="4"/>
                <w:szCs w:val="4"/>
              </w:rPr>
            </w:r>
          </w:p>
        </w:tc>
        <w:tc>
          <w:tcPr>
            <w:tcW w:w="6430" w:type="dxa"/>
            <w:gridSpan w:val="2"/>
            <w:tcBorders/>
            <w:vAlign w:val="center"/>
          </w:tcPr>
          <w:p>
            <w:pPr>
              <w:pStyle w:val="TableContents"/>
              <w:bidi w:val="0"/>
              <w:spacing w:before="0" w:after="283"/>
              <w:jc w:val="left"/>
              <w:rPr>
                <w:sz w:val="4"/>
                <w:szCs w:val="4"/>
              </w:rPr>
            </w:pPr>
            <w:r>
              <w:rPr>
                <w:sz w:val="4"/>
                <w:szCs w:val="4"/>
              </w:rPr>
            </w:r>
          </w:p>
        </w:tc>
      </w:tr>
      <w:tr>
        <w:trPr/>
        <w:tc>
          <w:tcPr>
            <w:tcW w:w="3775" w:type="dxa"/>
            <w:tcBorders/>
          </w:tcPr>
          <w:p>
            <w:pPr>
              <w:pStyle w:val="TableContents"/>
              <w:bidi w:val="0"/>
              <w:spacing w:before="0" w:after="0"/>
              <w:jc w:val="left"/>
              <w:rPr>
                <w:rFonts w:ascii="Times New Roman" w:hAnsi="Times New Roman"/>
                <w:sz w:val="20"/>
              </w:rPr>
            </w:pPr>
            <w:r>
              <w:rPr>
                <w:rFonts w:ascii="Times New Roman" w:hAnsi="Times New Roman"/>
                <w:sz w:val="20"/>
              </w:rPr>
              <w:t>Address:</w:t>
            </w:r>
          </w:p>
        </w:tc>
        <w:tc>
          <w:tcPr>
            <w:tcW w:w="203" w:type="dxa"/>
            <w:tcBorders/>
            <w:vAlign w:val="bottom"/>
          </w:tcPr>
          <w:p>
            <w:pPr>
              <w:pStyle w:val="TableContents"/>
              <w:bidi w:val="0"/>
              <w:spacing w:before="0" w:after="283"/>
              <w:jc w:val="left"/>
              <w:rPr/>
            </w:pPr>
            <w:r>
              <w:rPr/>
              <w:t>  </w:t>
            </w:r>
          </w:p>
        </w:tc>
        <w:tc>
          <w:tcPr>
            <w:tcW w:w="6227" w:type="dxa"/>
            <w:tcBorders/>
            <w:vAlign w:val="bottom"/>
          </w:tcPr>
          <w:p>
            <w:pPr>
              <w:pStyle w:val="TableContents"/>
              <w:pBdr>
                <w:bottom w:val="single" w:sz="2" w:space="1" w:color="000000"/>
              </w:pBdr>
              <w:bidi w:val="0"/>
              <w:spacing w:before="0" w:after="20"/>
              <w:jc w:val="right"/>
              <w:rPr/>
            </w:pPr>
            <w:r>
              <w:rPr/>
              <w:t> </w:t>
            </w:r>
          </w:p>
        </w:tc>
      </w:tr>
      <w:tr>
        <w:trPr/>
        <w:tc>
          <w:tcPr>
            <w:tcW w:w="377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227" w:type="dxa"/>
            <w:tcBorders/>
            <w:vAlign w:val="bottom"/>
          </w:tcPr>
          <w:p>
            <w:pPr>
              <w:pStyle w:val="TableContents"/>
              <w:bidi w:val="0"/>
              <w:spacing w:before="0" w:after="283"/>
              <w:jc w:val="center"/>
              <w:rPr>
                <w:b/>
              </w:rPr>
            </w:pPr>
            <w:r>
              <w:rPr>
                <w:b/>
              </w:rPr>
              <w:t>(Include Zip Code)</w:t>
            </w:r>
          </w:p>
        </w:tc>
      </w:tr>
      <w:tr>
        <w:trPr>
          <w:trHeight w:val="240" w:hRule="atLeast"/>
        </w:trPr>
        <w:tc>
          <w:tcPr>
            <w:tcW w:w="3775" w:type="dxa"/>
            <w:tcBorders/>
            <w:vAlign w:val="center"/>
          </w:tcPr>
          <w:p>
            <w:pPr>
              <w:pStyle w:val="TableContents"/>
              <w:bidi w:val="0"/>
              <w:spacing w:before="0" w:after="283"/>
              <w:jc w:val="left"/>
              <w:rPr>
                <w:sz w:val="4"/>
                <w:szCs w:val="4"/>
              </w:rPr>
            </w:pPr>
            <w:r>
              <w:rPr>
                <w:sz w:val="4"/>
                <w:szCs w:val="4"/>
              </w:rPr>
            </w:r>
          </w:p>
        </w:tc>
        <w:tc>
          <w:tcPr>
            <w:tcW w:w="6430" w:type="dxa"/>
            <w:gridSpan w:val="2"/>
            <w:tcBorders/>
            <w:vAlign w:val="center"/>
          </w:tcPr>
          <w:p>
            <w:pPr>
              <w:pStyle w:val="TableContents"/>
              <w:bidi w:val="0"/>
              <w:spacing w:before="0" w:after="283"/>
              <w:jc w:val="left"/>
              <w:rPr>
                <w:sz w:val="4"/>
                <w:szCs w:val="4"/>
              </w:rPr>
            </w:pPr>
            <w:r>
              <w:rPr>
                <w:sz w:val="4"/>
                <w:szCs w:val="4"/>
              </w:rPr>
            </w:r>
          </w:p>
        </w:tc>
      </w:tr>
      <w:tr>
        <w:trPr/>
        <w:tc>
          <w:tcPr>
            <w:tcW w:w="3775" w:type="dxa"/>
            <w:tcBorders/>
          </w:tcPr>
          <w:p>
            <w:pPr>
              <w:pStyle w:val="TableContents"/>
              <w:bidi w:val="0"/>
              <w:spacing w:before="0" w:after="0"/>
              <w:jc w:val="left"/>
              <w:rPr>
                <w:rFonts w:ascii="Times New Roman" w:hAnsi="Times New Roman"/>
                <w:sz w:val="20"/>
              </w:rPr>
            </w:pPr>
            <w:r>
              <w:rPr>
                <w:rFonts w:ascii="Times New Roman" w:hAnsi="Times New Roman"/>
                <w:sz w:val="20"/>
              </w:rPr>
              <w:t>Area Code and Telephone Number:</w:t>
            </w:r>
          </w:p>
        </w:tc>
        <w:tc>
          <w:tcPr>
            <w:tcW w:w="203" w:type="dxa"/>
            <w:tcBorders/>
            <w:vAlign w:val="bottom"/>
          </w:tcPr>
          <w:p>
            <w:pPr>
              <w:pStyle w:val="TableContents"/>
              <w:bidi w:val="0"/>
              <w:spacing w:before="0" w:after="283"/>
              <w:jc w:val="left"/>
              <w:rPr/>
            </w:pPr>
            <w:r>
              <w:rPr/>
              <w:t>  </w:t>
            </w:r>
          </w:p>
        </w:tc>
        <w:tc>
          <w:tcPr>
            <w:tcW w:w="6227" w:type="dxa"/>
            <w:tcBorders/>
          </w:tcPr>
          <w:p>
            <w:pPr>
              <w:pStyle w:val="TableContents"/>
              <w:pBdr>
                <w:bottom w:val="single" w:sz="2" w:space="1" w:color="000000"/>
              </w:pBdr>
              <w:bidi w:val="0"/>
              <w:spacing w:before="0" w:after="20"/>
              <w:jc w:val="righ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GUARANTEE OF SIGNATURE(S) </w:t>
      </w:r>
    </w:p>
    <w:p>
      <w:pPr>
        <w:pStyle w:val="TextBody"/>
        <w:bidi w:val="0"/>
        <w:spacing w:before="0" w:after="0"/>
        <w:jc w:val="center"/>
        <w:rPr>
          <w:rFonts w:ascii="Times New Roman" w:hAnsi="Times New Roman"/>
          <w:b/>
          <w:sz w:val="20"/>
        </w:rPr>
      </w:pPr>
      <w:r>
        <w:rPr>
          <w:rFonts w:ascii="Times New Roman" w:hAnsi="Times New Roman"/>
          <w:b/>
          <w:sz w:val="20"/>
        </w:rPr>
        <w:t xml:space="preserve">(For use by Eligible Institutions only; </w:t>
      </w:r>
    </w:p>
    <w:p>
      <w:pPr>
        <w:pStyle w:val="TextBody"/>
        <w:bidi w:val="0"/>
        <w:spacing w:before="0" w:after="0"/>
        <w:jc w:val="center"/>
        <w:rPr>
          <w:rFonts w:ascii="Times New Roman" w:hAnsi="Times New Roman"/>
          <w:b/>
          <w:sz w:val="20"/>
        </w:rPr>
      </w:pPr>
      <w:r>
        <w:rPr>
          <w:rFonts w:ascii="Times New Roman" w:hAnsi="Times New Roman"/>
          <w:b/>
          <w:sz w:val="20"/>
        </w:rPr>
        <w:t xml:space="preserve">see Instructions 1 and 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55"/>
        <w:gridCol w:w="181"/>
        <w:gridCol w:w="4569"/>
      </w:tblGrid>
      <w:tr>
        <w:trPr/>
        <w:tc>
          <w:tcPr>
            <w:tcW w:w="5455"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456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 of Firm: </w:t>
            </w:r>
            <w:r>
              <w:rPr>
                <w:rFonts w:ascii="Times New Roman" w:hAnsi="Times New Roman"/>
                <w:sz w:val="20"/>
                <w:u w:val="single"/>
              </w:rPr>
              <w:t>                                                                                                                                                                                                </w:t>
            </w:r>
          </w:p>
          <w:p>
            <w:pPr>
              <w:pStyle w:val="TableContents"/>
              <w:bidi w:val="0"/>
              <w:spacing w:before="0" w:after="20"/>
              <w:jc w:val="left"/>
              <w:rPr/>
            </w:pPr>
            <w:r>
              <w:rPr/>
              <w:t> </w:t>
            </w:r>
          </w:p>
        </w:tc>
      </w:tr>
      <w:tr>
        <w:trPr/>
        <w:tc>
          <w:tcPr>
            <w:tcW w:w="10205" w:type="dxa"/>
            <w:gridSpan w:val="3"/>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b/>
              </w:rPr>
            </w:pPr>
            <w:r>
              <w:rPr>
                <w:b/>
              </w:rPr>
              <w:t>(Include Zip Code)</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Authorized Signature: </w:t>
            </w:r>
            <w:r>
              <w:rPr>
                <w:rFonts w:ascii="Times New Roman" w:hAnsi="Times New Roman"/>
                <w:sz w:val="20"/>
                <w:u w:val="single"/>
              </w:rPr>
              <w:t>                                                                                                                                                                                  </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 </w:t>
            </w:r>
            <w:r>
              <w:rPr>
                <w:rFonts w:ascii="Times New Roman" w:hAnsi="Times New Roman"/>
                <w:sz w:val="20"/>
                <w:u w:val="single"/>
              </w:rPr>
              <w:t>                                                                                                                                                                                                                </w:t>
            </w:r>
          </w:p>
          <w:p>
            <w:pPr>
              <w:pStyle w:val="TableContents"/>
              <w:bidi w:val="0"/>
              <w:spacing w:before="0" w:after="20"/>
              <w:jc w:val="left"/>
              <w:rPr/>
            </w:pPr>
            <w:r>
              <w:rPr/>
              <w:t> </w:t>
            </w:r>
          </w:p>
        </w:tc>
      </w:tr>
      <w:tr>
        <w:trPr/>
        <w:tc>
          <w:tcPr>
            <w:tcW w:w="10205" w:type="dxa"/>
            <w:gridSpan w:val="3"/>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b/>
              </w:rPr>
            </w:pPr>
            <w:r>
              <w:rPr>
                <w:b/>
              </w:rPr>
              <w:t>(Please Type or Print)</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Area Code and Telephone Number: </w:t>
            </w:r>
            <w:r>
              <w:rPr>
                <w:rFonts w:ascii="Times New Roman" w:hAnsi="Times New Roman"/>
                <w:sz w:val="20"/>
                <w:u w:val="single"/>
              </w:rPr>
              <w:t>                                                                                                                                                       </w:t>
            </w:r>
          </w:p>
        </w:tc>
      </w:tr>
      <w:tr>
        <w:trPr>
          <w:trHeight w:val="240" w:hRule="atLeast"/>
        </w:trPr>
        <w:tc>
          <w:tcPr>
            <w:tcW w:w="5455" w:type="dxa"/>
            <w:tcBorders/>
            <w:vAlign w:val="center"/>
          </w:tcPr>
          <w:p>
            <w:pPr>
              <w:pStyle w:val="TableContents"/>
              <w:bidi w:val="0"/>
              <w:spacing w:before="0" w:after="283"/>
              <w:jc w:val="left"/>
              <w:rPr>
                <w:sz w:val="4"/>
                <w:szCs w:val="4"/>
              </w:rPr>
            </w:pPr>
            <w:r>
              <w:rPr>
                <w:sz w:val="4"/>
                <w:szCs w:val="4"/>
              </w:rPr>
            </w:r>
          </w:p>
        </w:tc>
        <w:tc>
          <w:tcPr>
            <w:tcW w:w="4750" w:type="dxa"/>
            <w:gridSpan w:val="2"/>
            <w:tcBorders/>
            <w:vAlign w:val="center"/>
          </w:tcPr>
          <w:p>
            <w:pPr>
              <w:pStyle w:val="TableContents"/>
              <w:bidi w:val="0"/>
              <w:spacing w:before="0" w:after="283"/>
              <w:jc w:val="left"/>
              <w:rPr>
                <w:sz w:val="4"/>
                <w:szCs w:val="4"/>
              </w:rPr>
            </w:pPr>
            <w:r>
              <w:rPr>
                <w:sz w:val="4"/>
                <w:szCs w:val="4"/>
              </w:rPr>
            </w:r>
          </w:p>
        </w:tc>
      </w:tr>
      <w:tr>
        <w:trPr/>
        <w:tc>
          <w:tcPr>
            <w:tcW w:w="5455" w:type="dxa"/>
            <w:tcBorders/>
          </w:tcPr>
          <w:p>
            <w:pPr>
              <w:pStyle w:val="TableContents"/>
              <w:bidi w:val="0"/>
              <w:spacing w:before="0" w:after="0"/>
              <w:jc w:val="left"/>
              <w:rPr>
                <w:rFonts w:ascii="Times New Roman" w:hAnsi="Times New Roman"/>
                <w:sz w:val="20"/>
              </w:rPr>
            </w:pPr>
            <w:r>
              <w:rPr>
                <w:rFonts w:ascii="Times New Roman" w:hAnsi="Times New Roman"/>
                <w:sz w:val="20"/>
              </w:rPr>
              <w:t>Dated:     , 20</w:t>
            </w:r>
          </w:p>
          <w:p>
            <w:pPr>
              <w:pStyle w:val="TableContents"/>
              <w:bidi w:val="0"/>
              <w:spacing w:before="0" w:after="20"/>
              <w:jc w:val="left"/>
              <w:rPr/>
            </w:pPr>
            <w:r>
              <w:rPr/>
              <w:t> </w:t>
            </w:r>
          </w:p>
        </w:tc>
        <w:tc>
          <w:tcPr>
            <w:tcW w:w="181" w:type="dxa"/>
            <w:tcBorders/>
            <w:vAlign w:val="bottom"/>
          </w:tcPr>
          <w:p>
            <w:pPr>
              <w:pStyle w:val="TableContents"/>
              <w:bidi w:val="0"/>
              <w:spacing w:before="0" w:after="283"/>
              <w:jc w:val="left"/>
              <w:rPr/>
            </w:pPr>
            <w:r>
              <w:rPr/>
              <w:t> </w:t>
            </w:r>
          </w:p>
        </w:tc>
        <w:tc>
          <w:tcPr>
            <w:tcW w:w="4569" w:type="dxa"/>
            <w:tcBorders/>
          </w:tcPr>
          <w:p>
            <w:pPr>
              <w:pStyle w:val="TableContents"/>
              <w:bidi w:val="0"/>
              <w:spacing w:before="0" w:after="283"/>
              <w:jc w:val="left"/>
              <w:rPr>
                <w:sz w:val="4"/>
                <w:szCs w:val="4"/>
              </w:rPr>
            </w:pPr>
            <w:r>
              <w:rPr>
                <w:sz w:val="4"/>
                <w:szCs w:val="4"/>
              </w:rPr>
            </w:r>
          </w:p>
        </w:tc>
      </w:tr>
      <w:tr>
        <w:trPr/>
        <w:tc>
          <w:tcPr>
            <w:tcW w:w="10205" w:type="dxa"/>
            <w:gridSpan w:val="3"/>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b/>
              </w:rPr>
            </w:pPr>
            <w:r>
              <w:rPr>
                <w:b/>
              </w:rPr>
              <w:t>Place medallion guarantee in space below:</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INSTRUCTIONS </w:t>
      </w:r>
    </w:p>
    <w:p>
      <w:pPr>
        <w:pStyle w:val="TextBody"/>
        <w:bidi w:val="0"/>
        <w:spacing w:before="120" w:after="0"/>
        <w:jc w:val="center"/>
        <w:rPr>
          <w:rFonts w:ascii="Times New Roman" w:hAnsi="Times New Roman"/>
          <w:b/>
          <w:sz w:val="20"/>
        </w:rPr>
      </w:pPr>
      <w:r>
        <w:rPr>
          <w:rFonts w:ascii="Times New Roman" w:hAnsi="Times New Roman"/>
          <w:b/>
          <w:sz w:val="20"/>
        </w:rPr>
        <w:t xml:space="preserve">Forming Part of the Terms and Conditions of the Offer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rPr>
        <w:t>Guarantee of Signatures for Shares.</w:t>
      </w:r>
      <w:r>
        <w:rPr>
          <w:rFonts w:ascii="Times New Roman" w:hAnsi="Times New Roman"/>
          <w:sz w:val="20"/>
        </w:rPr>
        <w:t xml:space="preserve"> No signature guarantee is required on this Letter of Transmittal (a) if this Letter of Transmittal is signed by the holder(s) of record (which term, for purposes of this Section 1, includes any participant in DTC’s systems whose name appears on a security position listing as the owner of the Shares) of the Shares tendered therewith, unless such holder or holders have completed either the box entitled “Special Delivery Instructions” or the box entitled “Special Payment Instructions” on this Letter of Transmittal or (b) if the Shares are tendered for the account of a financial institution (including most commercial banks, savings and loan associations and brokerage houses) that is a member in good standing of the Security Transfer Agents Medallion Program or any other “eligible guarantor institution,” as such term is defined in Rule 17Ad-15 of the Exchange Act (each, an “Eligible Institution” and collectively, “Eligible Institutions”) (for example, the Securities Transfer Agents Medallion Program®, the New York Stock Exchange Inc. Medallion Signature ProgramSM and the Stock Exchanges Medallion Program®). In all other cases, all signatures on this Letter of Transmittal must be guaranteed by an Eligible Institution. See Instruction 5.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rPr>
        <w:t>Delivery of Letter of Transmittal and Share Certificates or Book-Entry Confirmations.</w:t>
      </w:r>
      <w:r>
        <w:rPr>
          <w:rFonts w:ascii="Times New Roman" w:hAnsi="Times New Roman"/>
          <w:sz w:val="20"/>
        </w:rPr>
        <w:t xml:space="preserve"> This Letter of Transmittal is to be completed by stockholders that are tendering Shares represented by Share Certificates or held in book-entry form on the books of the Transfer Agent, or if the Shares are being tendered pursuant to the procedures for book-entry transfer as set forth in Section 3 of the Offer to Purchase or through ATOP unless, in the case of Shares held or transferred in book-entry form or through ATOP, an Agent’s Message is being delivered to the Depositary in lieu of this Letter of Transmittal. Payment for Shares accepted for payment pursuant to the Offer will in all cases only be made after timely receipt by the Depositary of (i) to the extent the Shares are not already held with the Depositary, Share Certificates or a Book-Entry Confirmation (as defined in the Offer to Purchase) of a book-entry transfer of such Shares into the Depositary’s account at DTC pursuant to the procedures set forth in Section 3 of the Offer to Purchase, (ii) this Letter of Transmittal, properly completed and duly executed, with any required signature guarantees (or, in the case of a book-entry transfer or a tender through DTC’s ATOP, an Agent’s Message in lieu of this Letter of Transmittal) and (iii) any other documents required by this Letter of Transmittal or the Depositary, in each case prior to the Expiration Time. </w:t>
      </w:r>
    </w:p>
    <w:p>
      <w:pPr>
        <w:pStyle w:val="TextBody"/>
        <w:bidi w:val="0"/>
        <w:spacing w:before="240" w:after="0"/>
        <w:jc w:val="left"/>
        <w:rPr>
          <w:rFonts w:ascii="Times New Roman" w:hAnsi="Times New Roman"/>
          <w:sz w:val="20"/>
        </w:rPr>
      </w:pPr>
      <w:r>
        <w:rPr>
          <w:rFonts w:ascii="Times New Roman" w:hAnsi="Times New Roman"/>
          <w:sz w:val="20"/>
        </w:rPr>
        <w:t xml:space="preserve">The term “Agent’s Message” means a message transmitted through electronic means by DTC in accordance with the normal procedures of DTC to, and received by, the Depositary and forming part of a Book-Entry Confirmation, that states that DTC has received an express acknowledgment from the participant in DTC tendering the Shares that are the subject of such Book-Entry Confirmation that such participant has received and agrees to be bound by the terms of, this Letter of Transmittal, and that Purchaser may enforce such agreement against such participant. The term “Agent’s Message” also includes any hard copy printout evidencing such message generated by a computer terminal maintained at the Depositary’s office. </w:t>
      </w:r>
    </w:p>
    <w:p>
      <w:pPr>
        <w:pStyle w:val="TextBody"/>
        <w:bidi w:val="0"/>
        <w:spacing w:before="240" w:after="0"/>
        <w:jc w:val="left"/>
        <w:rPr>
          <w:rFonts w:ascii="Times New Roman" w:hAnsi="Times New Roman"/>
          <w:b/>
          <w:sz w:val="20"/>
        </w:rPr>
      </w:pPr>
      <w:r>
        <w:rPr>
          <w:rFonts w:ascii="Times New Roman" w:hAnsi="Times New Roman"/>
          <w:b/>
          <w:sz w:val="20"/>
        </w:rPr>
        <w:t xml:space="preserve">THE METHOD OF DELIVERY OF THE SHARES (OR SHARE CERTIFICATES, IF ANY), THIS LETTER OF TRANSMITTAL, THE AGENT’S MESSAGE AND ALL OTHER REQUIRED DOCUMENTS, INCLUDING DELIVERY THROUGH DTC, IS AT THE ELECTION AND RISK OF THE TENDERING STOCKHOLDER. DELIVERY OF THE SHARES (OR SHARE CERTIFICATES, IF ANY), THIS LETTER OF TRANSMITTAL AND ALL OTHER REQUIRED DOCUMENTS WILL BE DEEMED MADE, AND RISK OF LOSS THEREOF WILL PASS, ONLY WHEN THEY ARE ACTUALLY RECEIVED BY THE DEPOSITARY (INCLUDING, IN THE CASE OF A BOOK-ENTRY TRANSFER OF SHARES, BY BOOK-ENTRY CONFIRMATION WITH RESPECT TO SUCH SHARES). IF SUCH DELIVERY IS BY MAIL, IT IS RECOMMENDED THAT THE SHARES (OR ANY SHARE CERTIFICATES), THIS LETTER OF TRANSMITTAL AND ALL OTHER REQUIRED DOCUMENTS BE SENT BY PROPERLY INSURED REGISTERED MAIL WITH RETURN RECEIPT REQUESTED. IN ALL CASES, SUFFICIENT TIME SHOULD BE ALLOWED TO ENSURE TIMELY DELIVERY PRIOR TO THE EXPIRATION TIME. </w:t>
      </w:r>
    </w:p>
    <w:p>
      <w:pPr>
        <w:pStyle w:val="TextBody"/>
        <w:bidi w:val="0"/>
        <w:spacing w:before="240" w:after="0"/>
        <w:jc w:val="left"/>
        <w:rPr>
          <w:rFonts w:ascii="Times New Roman" w:hAnsi="Times New Roman"/>
          <w:sz w:val="20"/>
        </w:rPr>
      </w:pPr>
      <w:r>
        <w:rPr>
          <w:rFonts w:ascii="Times New Roman" w:hAnsi="Times New Roman"/>
          <w:sz w:val="20"/>
        </w:rPr>
        <w:t xml:space="preserve">No alternative, conditional or contingent tenders will be accepted and no fractional Shares will be purchased. All tendering stockholders, by execution of this Letter of Transmittal, waive any right to receive any notice of the acceptance of their Shares for payment.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b/>
          <w:sz w:val="20"/>
        </w:rPr>
        <w:t>Inadequate Space.</w:t>
      </w:r>
      <w:r>
        <w:rPr>
          <w:rFonts w:ascii="Times New Roman" w:hAnsi="Times New Roman"/>
          <w:sz w:val="20"/>
        </w:rPr>
        <w:t xml:space="preserve"> If the space provided on the cover page to this Letter of Transmittal is inadequate, the certificate numbers and/or the number of Shares should be listed on a separate schedule attached hereto and separately signed on each page thereof in the same manner as this Letter of Transmittal is signed. </w:t>
      </w:r>
    </w:p>
    <w:p>
      <w:pPr>
        <w:pStyle w:val="TextBody"/>
        <w:bidi w:val="0"/>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b/>
          <w:sz w:val="20"/>
        </w:rPr>
        <w:t>Partial Tenders (Applicable to Certificate Stockholders Only).</w:t>
      </w:r>
      <w:r>
        <w:rPr>
          <w:rFonts w:ascii="Times New Roman" w:hAnsi="Times New Roman"/>
          <w:sz w:val="20"/>
        </w:rPr>
        <w:t xml:space="preserve"> If fewer than all the Shares evidenced by any Share Certificate delivered to the Depositary are to be tendered, stockholders should contact the Transfer Agent by phone at (800) 937-5449 (US &amp; Canada) and (718) 921-8124 (outside US &amp; Canada) to arrange to have such Share Certificate divided into separate Share Certificates representing the number of shares to be tendered and the number of shares to not be tendered. The stockholder should then tender the Share Certificate representing the number of Shares to be tendered as set forth in this Letter of Transmittal. All Shares represented by Share Certificates delivered to the Depositary will be deemed to have been tendered. </w:t>
      </w:r>
    </w:p>
    <w:p>
      <w:pPr>
        <w:pStyle w:val="TextBody"/>
        <w:bidi w:val="0"/>
        <w:spacing w:before="24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w:t>
      </w:r>
      <w:r>
        <w:rPr>
          <w:rFonts w:ascii="Times New Roman" w:hAnsi="Times New Roman"/>
          <w:b/>
          <w:sz w:val="20"/>
        </w:rPr>
        <w:t>Signatures on Letter of Transmittal; Stock Powers and Endorsements.</w:t>
      </w:r>
      <w:r>
        <w:rPr>
          <w:rFonts w:ascii="Times New Roman" w:hAnsi="Times New Roman"/>
          <w:sz w:val="20"/>
        </w:rPr>
        <w:t xml:space="preserve"> If this Letter of Transmittal is signed by the holder(s) of record of the Shares tendered hereby, the signature(s) must correspond with the name(s) as written on the face of the Share Certificate(s) without alteration or any other change whatsoever. </w:t>
      </w:r>
    </w:p>
    <w:p>
      <w:pPr>
        <w:pStyle w:val="TextBody"/>
        <w:bidi w:val="0"/>
        <w:spacing w:before="240" w:after="0"/>
        <w:jc w:val="left"/>
        <w:rPr>
          <w:rFonts w:ascii="Times New Roman" w:hAnsi="Times New Roman"/>
          <w:sz w:val="20"/>
        </w:rPr>
      </w:pPr>
      <w:r>
        <w:rPr>
          <w:rFonts w:ascii="Times New Roman" w:hAnsi="Times New Roman"/>
          <w:sz w:val="20"/>
        </w:rPr>
        <w:t xml:space="preserve">If any Shares tendered hereby are owned of record by two or more joint owners, all such owners must sign this Letter of Transmittal. </w:t>
      </w:r>
    </w:p>
    <w:p>
      <w:pPr>
        <w:pStyle w:val="TextBody"/>
        <w:bidi w:val="0"/>
        <w:spacing w:before="240" w:after="0"/>
        <w:jc w:val="left"/>
        <w:rPr>
          <w:rFonts w:ascii="Times New Roman" w:hAnsi="Times New Roman"/>
          <w:sz w:val="20"/>
        </w:rPr>
      </w:pPr>
      <w:r>
        <w:rPr>
          <w:rFonts w:ascii="Times New Roman" w:hAnsi="Times New Roman"/>
          <w:sz w:val="20"/>
        </w:rPr>
        <w:t xml:space="preserve">If any tendered Shares are registered in the names of different holder(s), it will be necessary to complete, sign and submit as many separate Letters of Transmittal as there are different registrations of such Shares. </w:t>
      </w:r>
    </w:p>
    <w:p>
      <w:pPr>
        <w:pStyle w:val="TextBody"/>
        <w:bidi w:val="0"/>
        <w:spacing w:before="240" w:after="0"/>
        <w:jc w:val="left"/>
        <w:rPr>
          <w:rFonts w:ascii="Times New Roman" w:hAnsi="Times New Roman"/>
          <w:sz w:val="20"/>
        </w:rPr>
      </w:pPr>
      <w:r>
        <w:rPr>
          <w:rFonts w:ascii="Times New Roman" w:hAnsi="Times New Roman"/>
          <w:sz w:val="20"/>
        </w:rPr>
        <w:t xml:space="preserve">If this Letter of Transmittal or any certificates or stock powers are signed by trustees, executors, administrators, guardians, attorneys-in-fact, officers of corporations or others acting in a fiduciary or representative capacity, such persons should so indicate when signing, and proper evidence satisfactory to Purchaser of their authority so to act must be submitted with this Letter of Transmittal. </w:t>
      </w:r>
    </w:p>
    <w:p>
      <w:pPr>
        <w:pStyle w:val="TextBody"/>
        <w:bidi w:val="0"/>
        <w:spacing w:before="240" w:after="0"/>
        <w:jc w:val="left"/>
        <w:rPr>
          <w:rFonts w:ascii="Times New Roman" w:hAnsi="Times New Roman"/>
          <w:sz w:val="20"/>
        </w:rPr>
      </w:pPr>
      <w:r>
        <w:rPr>
          <w:rFonts w:ascii="Times New Roman" w:hAnsi="Times New Roman"/>
          <w:sz w:val="20"/>
        </w:rPr>
        <w:t xml:space="preserve">If this Letter of Transmittal is signed by the holder(s) of record of the Shares listed and transmitted hereby, no endorsements of Share Certificates or separate stock powers are required unless payment is to be made to, or Share Certificates representing Shares not tendered or accepted for payment are to be issued in the name of, a person other than the holder(s) of record, in which case the Share Certificates representing the Shares tendered by this Letter of Transmittal must be endorsed or accompanied by appropriate stock powers, in either case, signed exactly as the name(s) of the holder(s) of record appear(s) on the Share Certificates. Signatures on such Share Certificates or stock powers must be guaranteed by an Eligible Institution. </w:t>
      </w:r>
    </w:p>
    <w:p>
      <w:pPr>
        <w:pStyle w:val="TextBody"/>
        <w:bidi w:val="0"/>
        <w:spacing w:before="240" w:after="0"/>
        <w:jc w:val="left"/>
        <w:rPr>
          <w:rFonts w:ascii="Times New Roman" w:hAnsi="Times New Roman"/>
          <w:sz w:val="20"/>
        </w:rPr>
      </w:pPr>
      <w:r>
        <w:rPr>
          <w:rFonts w:ascii="Times New Roman" w:hAnsi="Times New Roman"/>
          <w:sz w:val="20"/>
        </w:rPr>
        <w:t xml:space="preserve">If this Letter of Transmittal is signed by a person other than the holder(s) of record of the Share(s) listed, the Share Certificate(s) must be endorsed or accompanied by the appropriate stock powers, in either case, signed exactly as the name or names of the holder(s) of record appear(s) on the Share Certificate(s). Signatures on such Share Certificates or stock powers must be guaranteed by an Eligible Institution. </w:t>
      </w:r>
    </w:p>
    <w:p>
      <w:pPr>
        <w:pStyle w:val="TextBody"/>
        <w:bidi w:val="0"/>
        <w:spacing w:before="24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w:t>
      </w:r>
      <w:r>
        <w:rPr>
          <w:rFonts w:ascii="Times New Roman" w:hAnsi="Times New Roman"/>
          <w:b/>
          <w:sz w:val="20"/>
        </w:rPr>
        <w:t>Transfer Taxes.</w:t>
      </w:r>
      <w:r>
        <w:rPr>
          <w:rFonts w:ascii="Times New Roman" w:hAnsi="Times New Roman"/>
          <w:sz w:val="20"/>
        </w:rPr>
        <w:t xml:space="preserve"> Except as otherwise provided in this Instruction 6, all sales, stock transfer, real property transfer, registration, value-added use, documentary, stamp, recording and other similar taxes with respect to the transfer and sale of Shares contemplated hereby shall be paid or caused to be paid by the Surviving Corporation (as defined in the Merger Agreement). If the payment of the Offer Price is to be made to a person other than the person in whose name the tendered Shares are registered on the stock transfer books of Adverum, it will be a condition to such payment that the person requesting such payment shall have paid all transfer and other similar taxes required by reason of the payment of the Offer Price to a person other than the registered holder of the Shares tendered, or shall have established to the satisfaction of Lilly that such taxes either have been paid or are not applicable. </w:t>
      </w:r>
    </w:p>
    <w:p>
      <w:pPr>
        <w:pStyle w:val="TextBody"/>
        <w:bidi w:val="0"/>
        <w:spacing w:before="24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w:t>
      </w:r>
      <w:r>
        <w:rPr>
          <w:rFonts w:ascii="Times New Roman" w:hAnsi="Times New Roman"/>
          <w:b/>
          <w:sz w:val="20"/>
        </w:rPr>
        <w:t>Special Payment and Delivery Instructions.</w:t>
      </w:r>
      <w:r>
        <w:rPr>
          <w:rFonts w:ascii="Times New Roman" w:hAnsi="Times New Roman"/>
          <w:sz w:val="20"/>
        </w:rPr>
        <w:t xml:space="preserve"> If a check for the Cash Consideration is to be issued, and/or Share Certificates representing Shares not validly tendered or accepted for payment are to be issued or returned to, a person other than the signer(s) of this Letter of Transmittal or to an address other than that shown in the box titled “Description of Shares Tendered” above, the appropriate boxes on this Letter of Transmittal should be completed.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w:t>
      </w:r>
      <w:r>
        <w:rPr>
          <w:rFonts w:ascii="Times New Roman" w:hAnsi="Times New Roman"/>
          <w:b/>
          <w:sz w:val="20"/>
        </w:rPr>
        <w:t>Requests for Assistance or Additional Copies.</w:t>
      </w:r>
      <w:r>
        <w:rPr>
          <w:rFonts w:ascii="Times New Roman" w:hAnsi="Times New Roman"/>
          <w:sz w:val="20"/>
        </w:rPr>
        <w:t xml:space="preserve"> Questions or requests for assistance may be directed to Georgeson LLC (the “Information Agent”) at its address and telephone numbers listed below. Additional copies of the Offer to Purchase, this Letter of Transmittal and other materials related to the Offer may be obtained at no cost to stockholders from the Information Agent. Additionally, copies of the Offer to Purchase, this Letter of Transmittal and any other materials related to the Offer are available free of charge at www.sec.gov. Stockholders may also contact their brokers, dealers, commercial banks, trust companies or other nominees for assistance. </w:t>
      </w:r>
    </w:p>
    <w:p>
      <w:pPr>
        <w:pStyle w:val="TextBody"/>
        <w:bidi w:val="0"/>
        <w:spacing w:before="240" w:after="0"/>
        <w:jc w:val="left"/>
        <w:rPr>
          <w:rFonts w:ascii="Times New Roman" w:hAnsi="Times New Roman"/>
          <w:sz w:val="20"/>
        </w:rPr>
      </w:pPr>
      <w:r>
        <w:rPr>
          <w:rFonts w:ascii="Times New Roman" w:hAnsi="Times New Roman"/>
          <w:b/>
          <w:sz w:val="20"/>
        </w:rPr>
        <w:t>9.</w:t>
      </w:r>
      <w:r>
        <w:rPr>
          <w:rFonts w:ascii="Times New Roman" w:hAnsi="Times New Roman"/>
          <w:sz w:val="20"/>
        </w:rPr>
        <w:t xml:space="preserve"> </w:t>
      </w:r>
      <w:r>
        <w:rPr>
          <w:rFonts w:ascii="Times New Roman" w:hAnsi="Times New Roman"/>
          <w:b/>
          <w:sz w:val="20"/>
        </w:rPr>
        <w:t>U.S. Federal Backup Withholding.</w:t>
      </w:r>
      <w:r>
        <w:rPr>
          <w:rFonts w:ascii="Times New Roman" w:hAnsi="Times New Roman"/>
          <w:sz w:val="20"/>
        </w:rPr>
        <w:t xml:space="preserve"> Under U.S. federal income tax laws, the Depositary will be required to withhold a portion of the amount of any payments made to certain stockholders (or other payees) pursuant to the Offer, as applicable. To avoid such backup withholding, each tendering stockholder (or other payee) that is or is treated as a “United States person” (for U.S. federal income tax purposes) and that does not otherwise establish an exemption from U.S. federal backup withholding should complete and return the attached Internal Revenue Service (“IRS”) Form W-9, certifying that such stockholder (or other payee) is a United States person, that the taxpayer identification number (“TIN”) provided is correct, and that such stockholder (or other payee) is not subject to backup withholding. </w:t>
      </w:r>
    </w:p>
    <w:p>
      <w:pPr>
        <w:pStyle w:val="TextBody"/>
        <w:bidi w:val="0"/>
        <w:spacing w:before="240" w:after="0"/>
        <w:jc w:val="left"/>
        <w:rPr>
          <w:rFonts w:ascii="Times New Roman" w:hAnsi="Times New Roman"/>
          <w:sz w:val="20"/>
        </w:rPr>
      </w:pPr>
      <w:r>
        <w:rPr>
          <w:rFonts w:ascii="Times New Roman" w:hAnsi="Times New Roman"/>
          <w:sz w:val="20"/>
        </w:rPr>
        <w:t xml:space="preserve">Certain stockholders and other payees (including, among others, certain corporations, non-resident foreign individuals and foreign entities) are not subject to these backup withholding and reporting requirements. Exempt United States persons should indicate their exempt status on IRS Form W-9. A tendering stockholder (or other payee) who is not a United States person (such as a foreign individual or a foreign entity) should complete, sign, and submit to the Depositary the appropriate IRS Form W-8. The appropriate IRS Form W-8 may be downloaded from the IRS’s website at the following address: </w:t>
      </w:r>
      <w:r>
        <w:rPr>
          <w:rFonts w:ascii="Times New Roman" w:hAnsi="Times New Roman"/>
          <w:i/>
          <w:sz w:val="20"/>
        </w:rPr>
        <w:t>www.irs.gov</w:t>
      </w:r>
      <w:r>
        <w:rPr>
          <w:rFonts w:ascii="Times New Roman" w:hAnsi="Times New Roman"/>
          <w:sz w:val="20"/>
        </w:rPr>
        <w:t xml:space="preserve">. Failure to complete the IRS Form W-9 or the appropriate IRS Form W-8 will not, by itself, cause Shares to be deemed invalidly tendered, but may require the Depositary to withhold a portion of the amount of any payments made of the Offer Price pursuant to the Offer and may result in penalties imposed by the IRS. </w:t>
      </w:r>
    </w:p>
    <w:p>
      <w:pPr>
        <w:pStyle w:val="TextBody"/>
        <w:bidi w:val="0"/>
        <w:spacing w:before="240" w:after="0"/>
        <w:jc w:val="left"/>
        <w:rPr>
          <w:rFonts w:ascii="Times New Roman" w:hAnsi="Times New Roman"/>
          <w:sz w:val="20"/>
        </w:rPr>
      </w:pPr>
      <w:r>
        <w:rPr>
          <w:rFonts w:ascii="Times New Roman" w:hAnsi="Times New Roman"/>
          <w:sz w:val="20"/>
        </w:rPr>
        <w:t xml:space="preserve">Tendering stockholders (or other payees) should consult their tax advisors as to any qualification for exemption from backup withholding, and the procedure for obtaining the exemption. </w:t>
      </w:r>
    </w:p>
    <w:p>
      <w:pPr>
        <w:pStyle w:val="TextBody"/>
        <w:bidi w:val="0"/>
        <w:spacing w:before="240" w:after="0"/>
        <w:jc w:val="left"/>
        <w:rPr>
          <w:rFonts w:ascii="Times New Roman" w:hAnsi="Times New Roman"/>
          <w:b/>
          <w:sz w:val="20"/>
        </w:rPr>
      </w:pPr>
      <w:r>
        <w:rPr>
          <w:rFonts w:ascii="Times New Roman" w:hAnsi="Times New Roman"/>
          <w:b/>
          <w:sz w:val="20"/>
        </w:rPr>
        <w:t xml:space="preserve">NOTE: FAILURE TO COMPLETE AND RETURN THE IRS FORM W-9 (OR APPROPRIATE IRS FORM W-8, AS APPLICABLE) MAY RESULT IN U.S. FEDERAL BACKUP WITHHOLDING OF A PORTION OF ANY PAYMENTS MADE TO YOU PURSUANT TO THE OFFER AND MAY RESULT IN PENALTIES IMPOSED BY THE IRS. PLEASE REVIEW THE “IMPORTANT U.S. TAX INFORMATION” SECTION BELOW. </w:t>
      </w:r>
    </w:p>
    <w:p>
      <w:pPr>
        <w:pStyle w:val="TextBody"/>
        <w:bidi w:val="0"/>
        <w:spacing w:before="240" w:after="0"/>
        <w:jc w:val="left"/>
        <w:rPr>
          <w:rFonts w:ascii="Times New Roman" w:hAnsi="Times New Roman"/>
          <w:sz w:val="20"/>
        </w:rPr>
      </w:pPr>
      <w:r>
        <w:rPr>
          <w:rFonts w:ascii="Times New Roman" w:hAnsi="Times New Roman"/>
          <w:b/>
          <w:sz w:val="20"/>
        </w:rPr>
        <w:t>10.</w:t>
      </w:r>
      <w:r>
        <w:rPr>
          <w:rFonts w:ascii="Times New Roman" w:hAnsi="Times New Roman"/>
          <w:sz w:val="20"/>
        </w:rPr>
        <w:t xml:space="preserve"> </w:t>
      </w:r>
      <w:r>
        <w:rPr>
          <w:rFonts w:ascii="Times New Roman" w:hAnsi="Times New Roman"/>
          <w:b/>
          <w:sz w:val="20"/>
        </w:rPr>
        <w:t>Lost, Stolen or Destroyed Share Certificates.</w:t>
      </w:r>
      <w:r>
        <w:rPr>
          <w:rFonts w:ascii="Times New Roman" w:hAnsi="Times New Roman"/>
          <w:sz w:val="20"/>
        </w:rPr>
        <w:t xml:space="preserve"> In the event that any Share Certificate has been lost, stolen or destroyed, you should promptly notify the Transfer Agent at (800) 937-5449 (US &amp; Canada) and (718) 921-8124 (outside US &amp; Canada). You will then be instructed as to the steps that must be taken in order to replace such Share Certificates. You may be required to post a bond to secure against the risk that the Share Certificate(s) may be subsequently recirculated. </w:t>
      </w:r>
      <w:r>
        <w:rPr>
          <w:rFonts w:ascii="Times New Roman" w:hAnsi="Times New Roman"/>
          <w:b/>
          <w:sz w:val="20"/>
        </w:rPr>
        <w:t>You are urged to contact the Transfer Agent immediately in order to receive further instructions and for a determination of whether you will need to post a bond and to permit timely processing of this documentation</w:t>
      </w:r>
      <w:r>
        <w:rPr>
          <w:rFonts w:ascii="Times New Roman" w:hAnsi="Times New Roman"/>
          <w:sz w:val="20"/>
        </w:rPr>
        <w:t xml:space="preserve">. This Letter of Transmittal and related documents cannot be processed until the procedures for replacing lost, stolen or destroyed Share Certificates have been followed. </w:t>
      </w:r>
    </w:p>
    <w:p>
      <w:pPr>
        <w:pStyle w:val="TextBody"/>
        <w:bidi w:val="0"/>
        <w:spacing w:before="24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rPr>
        <w:t>Waiver of Conditions.</w:t>
      </w:r>
      <w:r>
        <w:rPr>
          <w:rFonts w:ascii="Times New Roman" w:hAnsi="Times New Roman"/>
          <w:sz w:val="20"/>
        </w:rPr>
        <w:t xml:space="preserve"> Purchaser expressly reserves the right at any time or from time to time, in its sole discretion, to waive any Offer Condition (as defined in the Offer to Purchase) or modify or amend the terms of the Offer, in whole or in part, including the Offer Price, except that Adverum’s prior written consent (which consent will not be unreasonably withheld, conditioned or delayed) is required for Purchaser to: (i) decrease the Cash Consideration or amend the terms of the CVRs or the CVR Agreement; (ii) change the form of the consideration payable in the Offer; (iii) decrease the maximum number of Shares sought pursuant to the Offer; (iv) amend or waive the Minimum Tender Condition (as defined in the Offer to Purchase) or the Termination Condition (as defined in the Offer to Purchase); (v) add to or modify the Offer Conditions in a manner adverse to the holders of Shares (as a group in their capacity as such); (vi) extend the Expiration Time except as required or expressly permitted by the Merger Agreement or provide any “subsequent offering period” (or any extension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thereof) within the meaning of Rule 14d-11 promulgated under the Exchange Act; or (vii) make any other change to the terms or conditions of the Offer that is adverse in any material respect to the holders of Shares (as a group in their capacity as such). </w:t>
      </w:r>
    </w:p>
    <w:p>
      <w:pPr>
        <w:pStyle w:val="TextBody"/>
        <w:bidi w:val="0"/>
        <w:spacing w:before="24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rPr>
        <w:t>Determination of Validity.</w:t>
      </w:r>
      <w:r>
        <w:rPr>
          <w:rFonts w:ascii="Times New Roman" w:hAnsi="Times New Roman"/>
          <w:sz w:val="20"/>
        </w:rPr>
        <w:t xml:space="preserve"> All questions as to the validity, form, eligibility (including time of receipt) and acceptance for payment of any tender of Shares will be determined by Purchaser, in Purchaser’s sole discretion, which determination will be final and binding on all parties, subject to the rights of holders of Shares to challenge such determination with respect to their Shares in a court of competent jurisdiction and any subsequent judgment of any such court. Purchaser reserves the absolute right to reject any and all tenders determined by Purchaser not to be in proper form or the acceptance for payment of which may, in Purchaser’s opinion, be unlawful. Purchaser also reserves the absolute right to waive any defect or irregularity in the tender of any Shares of any particular stockholder, whether or not similar defects or irregularities are waived in the case of other stockholders. No tender of Shares will be deemed to have been validly made until all defects and irregularities have been cured or waived to Purchaser’s satisfaction. None of Purchaser, Lilly or any of their respective affiliates or assigns, the Depositary, the Information Agent or any other person will be under any duty to give any notification of any defects or irregularities in tenders or incur any liability for failure to give any such notification. Subject to the terms of the Merger Agreement and the rights of holders of Shares to challenge any interpretation with respect to their Shares in a court of competent jurisdiction and any subsequent judgment of any such court, Purchaser’s interpretation of the terms and conditions of the Offer (including this Letter of Transmittal and the instructions hereto) will be final and binding. </w:t>
      </w:r>
    </w:p>
    <w:p>
      <w:pPr>
        <w:pStyle w:val="TextBody"/>
        <w:bidi w:val="0"/>
        <w:spacing w:before="360" w:after="0"/>
        <w:jc w:val="left"/>
        <w:rPr>
          <w:rFonts w:ascii="Times New Roman" w:hAnsi="Times New Roman"/>
          <w:b/>
          <w:sz w:val="20"/>
        </w:rPr>
      </w:pPr>
      <w:r>
        <w:rPr>
          <w:rFonts w:ascii="Times New Roman" w:hAnsi="Times New Roman"/>
          <w:b/>
          <w:sz w:val="20"/>
        </w:rPr>
        <w:t xml:space="preserve">IMPORTANT: THIS LETTER OF TRANSMITTAL OR AN AGENT’S MESSAGE, TOGETHER WITH SHARE CERTIFICATE(S) OR BOOK-ENTRY CONFIRMATION AND ALL OTHER REQUIRED DOCUMENTS, MUST BE RECEIVED BY THE DEPOSITARY PRIOR TO THE EXPIRATION TIME. </w:t>
      </w:r>
    </w:p>
    <w:p>
      <w:pPr>
        <w:pStyle w:val="TextBody"/>
        <w:bidi w:val="0"/>
        <w:spacing w:before="240" w:after="0"/>
        <w:jc w:val="center"/>
        <w:rPr>
          <w:rFonts w:ascii="Times New Roman" w:hAnsi="Times New Roman"/>
          <w:b/>
          <w:sz w:val="20"/>
        </w:rPr>
      </w:pPr>
      <w:r>
        <w:rPr>
          <w:rFonts w:ascii="Times New Roman" w:hAnsi="Times New Roman"/>
          <w:b/>
          <w:sz w:val="20"/>
        </w:rPr>
        <w:t xml:space="preserve">IMPORTANT U.S. TAX INFORMATION </w:t>
      </w:r>
    </w:p>
    <w:p>
      <w:pPr>
        <w:pStyle w:val="TextBody"/>
        <w:bidi w:val="0"/>
        <w:spacing w:before="240" w:after="0"/>
        <w:jc w:val="left"/>
        <w:rPr>
          <w:rFonts w:ascii="Times New Roman" w:hAnsi="Times New Roman"/>
          <w:sz w:val="20"/>
        </w:rPr>
      </w:pPr>
      <w:r>
        <w:rPr>
          <w:rFonts w:ascii="Times New Roman" w:hAnsi="Times New Roman"/>
          <w:sz w:val="20"/>
        </w:rPr>
        <w:t xml:space="preserve">Under U.S. federal income tax law, a stockholder (or other payee) whose tendered Shares are accepted for payment is required by law to provide the Depositary (as payer) with such stockholder’s (or other payee’s) properly certified TIN and certain other information on an IRS Form W-9 or otherwise establish a basis for exemption from backup withholding (including by providing a properly completed and correct applicable IRS Form W-8). If such stockholder (or other payee) is a U.S. individual, the TIN is generally such stockholder’s (or other payee’s) social security number. If the Depositary is not provided with the correct TIN in the required manner or the stockholder (or other payee) does not otherwise establish its exemption from backup withholding (as described below), payments that are made to such stockholder (or other payee) with respect to Shares purchased pursuant to the Offer may be subject to U.S. federal backup withholding and such stockholder may be subject to penalties imposed by the IRS. </w:t>
      </w:r>
    </w:p>
    <w:p>
      <w:pPr>
        <w:pStyle w:val="TextBody"/>
        <w:bidi w:val="0"/>
        <w:spacing w:before="240" w:after="0"/>
        <w:jc w:val="left"/>
        <w:rPr>
          <w:rFonts w:ascii="Times New Roman" w:hAnsi="Times New Roman"/>
          <w:sz w:val="20"/>
        </w:rPr>
      </w:pPr>
      <w:r>
        <w:rPr>
          <w:rFonts w:ascii="Times New Roman" w:hAnsi="Times New Roman"/>
          <w:sz w:val="20"/>
        </w:rPr>
        <w:t xml:space="preserve">If backup withholding of U.S. federal income tax on payments for Shares made in the Offer or under the Merger Agreement applies, the Depositary is required to withhold at the applicable backup withholding rate (currently 24%) from any payments of the Offer Price made to the stockholder (or other payee). Backup withholding is not an additional tax. Rather, the U.S. federal income tax liability of persons subject to backup withholding will be reduced by the amount of tax withheld. If withholding results in an overpayment of taxes, a refund or credit may be obtained from the IRS provided that the required information is timely furnished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Exempt Stockholders </w:t>
      </w:r>
    </w:p>
    <w:p>
      <w:pPr>
        <w:pStyle w:val="TextBody"/>
        <w:bidi w:val="0"/>
        <w:spacing w:before="120" w:after="0"/>
        <w:jc w:val="left"/>
        <w:rPr>
          <w:rFonts w:ascii="Times New Roman" w:hAnsi="Times New Roman"/>
          <w:sz w:val="20"/>
        </w:rPr>
      </w:pPr>
      <w:r>
        <w:rPr>
          <w:rFonts w:ascii="Times New Roman" w:hAnsi="Times New Roman"/>
          <w:sz w:val="20"/>
        </w:rPr>
        <w:t xml:space="preserve">Certain stockholders and other payees (including, among others, certain corporations, non-resident foreign individuals and foreign entities) are exempt from these backup withholding and reporting requirements. To avoid backup U.S. federal withholding, an exempt stockholder (or other exempt payee) that is a United States person and has not otherwise established an exemption from backup withholding should indicate its exempt status on an IRS Form W-9, in accordance with the instructions thereto, and return the completed IRS Form W-9 to the Depository. A stockholder (or other payee) who is a foreign individual or a foreign entity should complete, sign,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submit to the Depositary the appropriate IRS Form W-8. The appropriate IRS Form W-8 may be downloaded from the IRS’s website at the following address: </w:t>
      </w:r>
      <w:r>
        <w:rPr>
          <w:rFonts w:ascii="Times New Roman" w:hAnsi="Times New Roman"/>
          <w:i/>
          <w:sz w:val="20"/>
        </w:rPr>
        <w:t>www.irs.gov</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Please consult your tax advisor for further guidance regarding the completion of the IRS Form W-9, IRS Form W-8BEN or W-8BEN-E (or other applicable IRS Form W-8) to claim exemption from backup withholding. Failure to complete the IRS Form W-9 (or appropriate IRS Form W-8, as applicable) will not, by itself, cause Shares to be deemed invalidly tendered, but may require the Depositary to withhold a portion of the amount of any payments of the Offer Price pursuant to the Offer.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938"/>
        <w:gridCol w:w="102"/>
        <w:gridCol w:w="6124"/>
        <w:gridCol w:w="102"/>
        <w:gridCol w:w="1939"/>
      </w:tblGrid>
      <w:tr>
        <w:trPr/>
        <w:tc>
          <w:tcPr>
            <w:tcW w:w="193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612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r>
      <w:tr>
        <w:trPr>
          <w:trHeight w:val="75" w:hRule="atLeast"/>
        </w:trPr>
        <w:tc>
          <w:tcPr>
            <w:tcW w:w="1938" w:type="dxa"/>
            <w:tcBorders>
              <w:right w:val="single" w:sz="8" w:space="0" w:color="000000"/>
            </w:tcBorders>
            <w:tcMar>
              <w:right w:w="28" w:type="dxa"/>
            </w:tcMar>
            <w:vAlign w:val="center"/>
          </w:tcPr>
          <w:p>
            <w:pPr>
              <w:pStyle w:val="TableContents"/>
              <w:bidi w:val="0"/>
              <w:spacing w:before="0" w:after="283"/>
              <w:jc w:val="left"/>
              <w:rPr/>
            </w:pPr>
            <w:r>
              <w:rPr/>
              <w:t> </w:t>
            </w:r>
          </w:p>
        </w:tc>
        <w:tc>
          <w:tcPr>
            <w:tcW w:w="6226" w:type="dxa"/>
            <w:gridSpan w:val="2"/>
            <w:tcBorders/>
            <w:vAlign w:val="center"/>
          </w:tcPr>
          <w:p>
            <w:pPr>
              <w:pStyle w:val="TableContents"/>
              <w:bidi w:val="0"/>
              <w:spacing w:before="0" w:after="283"/>
              <w:jc w:val="left"/>
              <w:rPr>
                <w:sz w:val="4"/>
                <w:szCs w:val="4"/>
              </w:rPr>
            </w:pPr>
            <w:r>
              <w:rPr>
                <w:sz w:val="4"/>
                <w:szCs w:val="4"/>
              </w:rPr>
            </w:r>
          </w:p>
        </w:tc>
        <w:tc>
          <w:tcPr>
            <w:tcW w:w="2041" w:type="dxa"/>
            <w:gridSpan w:val="2"/>
            <w:tcBorders>
              <w:left w:val="single" w:sz="8" w:space="0" w:color="000000"/>
            </w:tcBorders>
            <w:tcMar>
              <w:left w:w="28" w:type="dxa"/>
            </w:tcMar>
            <w:vAlign w:val="center"/>
          </w:tcPr>
          <w:p>
            <w:pPr>
              <w:pStyle w:val="TableContents"/>
              <w:bidi w:val="0"/>
              <w:spacing w:before="0" w:after="283"/>
              <w:jc w:val="left"/>
              <w:rPr/>
            </w:pPr>
            <w:r>
              <w:rPr/>
              <w:t> </w:t>
            </w:r>
          </w:p>
        </w:tc>
      </w:tr>
      <w:tr>
        <w:trPr/>
        <w:tc>
          <w:tcPr>
            <w:tcW w:w="1938" w:type="dxa"/>
            <w:tcBorders>
              <w:bottom w:val="single" w:sz="8" w:space="0" w:color="000000"/>
              <w:right w:val="single" w:sz="8" w:space="0" w:color="000000"/>
            </w:tcBorders>
            <w:tcMar>
              <w:bottom w:w="28" w:type="dxa"/>
              <w:right w:w="28" w:type="dxa"/>
            </w:tcMar>
            <w:vAlign w:val="bottom"/>
          </w:tcPr>
          <w:p>
            <w:pPr>
              <w:pStyle w:val="TableContents"/>
              <w:bidi w:val="0"/>
              <w:spacing w:before="0" w:after="0"/>
              <w:jc w:val="left"/>
              <w:rPr>
                <w:rFonts w:ascii="Times New Roman" w:hAnsi="Times New Roman"/>
                <w:sz w:val="14"/>
              </w:rPr>
            </w:pPr>
            <w:r>
              <w:rPr>
                <w:rFonts w:ascii="Times New Roman" w:hAnsi="Times New Roman"/>
                <w:sz w:val="14"/>
              </w:rPr>
              <w:t xml:space="preserve">Form  </w:t>
            </w:r>
            <w:r>
              <w:rPr>
                <w:rFonts w:ascii="Times New Roman" w:hAnsi="Times New Roman"/>
                <w:b/>
                <w:sz w:val="48"/>
              </w:rPr>
              <w:t>W-9</w:t>
            </w:r>
          </w:p>
          <w:p>
            <w:pPr>
              <w:pStyle w:val="TableContents"/>
              <w:bidi w:val="0"/>
              <w:spacing w:before="0" w:after="20"/>
              <w:jc w:val="left"/>
              <w:rPr/>
            </w:pPr>
            <w:r>
              <w:rPr/>
              <w:t> </w:t>
            </w:r>
          </w:p>
        </w:tc>
        <w:tc>
          <w:tcPr>
            <w:tcW w:w="102" w:type="dxa"/>
            <w:tcBorders>
              <w:bottom w:val="single" w:sz="8" w:space="0" w:color="000000"/>
            </w:tcBorders>
            <w:tcMar>
              <w:bottom w:w="28" w:type="dxa"/>
            </w:tcMar>
            <w:vAlign w:val="bottom"/>
          </w:tcPr>
          <w:p>
            <w:pPr>
              <w:pStyle w:val="TableContents"/>
              <w:bidi w:val="0"/>
              <w:spacing w:before="0" w:after="283"/>
              <w:jc w:val="left"/>
              <w:rPr/>
            </w:pPr>
            <w:r>
              <w:rPr/>
              <w:t> </w:t>
            </w:r>
          </w:p>
        </w:tc>
        <w:tc>
          <w:tcPr>
            <w:tcW w:w="6124"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28"/>
              </w:rPr>
            </w:pPr>
            <w:r>
              <w:rPr>
                <w:rFonts w:ascii="Times New Roman" w:hAnsi="Times New Roman"/>
                <w:b/>
                <w:sz w:val="28"/>
              </w:rPr>
              <w:t>Request for Taxpayer</w:t>
            </w:r>
          </w:p>
          <w:p>
            <w:pPr>
              <w:pStyle w:val="TableContents"/>
              <w:bidi w:val="0"/>
              <w:spacing w:before="0" w:after="0"/>
              <w:jc w:val="center"/>
              <w:rPr>
                <w:rFonts w:ascii="Times New Roman" w:hAnsi="Times New Roman"/>
                <w:b/>
                <w:sz w:val="28"/>
              </w:rPr>
            </w:pPr>
            <w:r>
              <w:rPr>
                <w:rFonts w:ascii="Times New Roman" w:hAnsi="Times New Roman"/>
                <w:b/>
                <w:sz w:val="28"/>
              </w:rPr>
              <w:t>Identification Number and Certification</w:t>
            </w:r>
          </w:p>
          <w:p>
            <w:pPr>
              <w:pStyle w:val="TableContents"/>
              <w:bidi w:val="0"/>
              <w:spacing w:before="0" w:after="0"/>
              <w:jc w:val="left"/>
              <w:rPr/>
            </w:pPr>
            <w:r>
              <w:rPr/>
              <w:t> </w:t>
            </w:r>
          </w:p>
          <w:p>
            <w:pPr>
              <w:pStyle w:val="TableContents"/>
              <w:bidi w:val="0"/>
              <w:spacing w:before="0" w:after="20"/>
              <w:jc w:val="center"/>
              <w:rPr>
                <w:rFonts w:ascii="Times New Roman" w:hAnsi="Times New Roman"/>
                <w:sz w:val="16"/>
              </w:rPr>
            </w:pPr>
            <w:r>
              <w:rPr>
                <w:rFonts w:ascii="Times New Roman" w:hAnsi="Times New Roman"/>
                <w:b/>
                <w:sz w:val="16"/>
              </w:rPr>
              <w:t xml:space="preserve">Go to </w:t>
            </w:r>
            <w:r>
              <w:rPr>
                <w:rFonts w:ascii="Times New Roman" w:hAnsi="Times New Roman"/>
                <w:b/>
                <w:i/>
                <w:sz w:val="16"/>
              </w:rPr>
              <w:t>www.irs.gov/FormW9</w:t>
            </w:r>
            <w:r>
              <w:rPr>
                <w:rFonts w:ascii="Times New Roman" w:hAnsi="Times New Roman"/>
                <w:sz w:val="16"/>
              </w:rPr>
              <w:t xml:space="preserve"> </w:t>
            </w:r>
            <w:r>
              <w:rPr>
                <w:rFonts w:ascii="Times New Roman" w:hAnsi="Times New Roman"/>
                <w:b/>
                <w:sz w:val="16"/>
              </w:rPr>
              <w:t>for instructions and the latest information.</w:t>
            </w:r>
          </w:p>
        </w:tc>
        <w:tc>
          <w:tcPr>
            <w:tcW w:w="102" w:type="dxa"/>
            <w:tcBorders>
              <w:left w:val="single" w:sz="8" w:space="0" w:color="000000"/>
              <w:bottom w:val="single" w:sz="8" w:space="0" w:color="000000"/>
            </w:tcBorders>
            <w:tcMar>
              <w:left w:w="28" w:type="dxa"/>
              <w:bottom w:w="28" w:type="dxa"/>
            </w:tcMar>
            <w:vAlign w:val="bottom"/>
          </w:tcPr>
          <w:p>
            <w:pPr>
              <w:pStyle w:val="TableContents"/>
              <w:bidi w:val="0"/>
              <w:spacing w:before="0" w:after="283"/>
              <w:jc w:val="left"/>
              <w:rPr/>
            </w:pPr>
            <w:r>
              <w:rPr/>
              <w:t> </w:t>
            </w:r>
          </w:p>
        </w:tc>
        <w:tc>
          <w:tcPr>
            <w:tcW w:w="1939" w:type="dxa"/>
            <w:tcBorders>
              <w:bottom w:val="single" w:sz="8" w:space="0" w:color="000000"/>
            </w:tcBorders>
            <w:tcMar>
              <w:bottom w:w="28" w:type="dxa"/>
            </w:tcMar>
            <w:vAlign w:val="bottom"/>
          </w:tcPr>
          <w:p>
            <w:pPr>
              <w:pStyle w:val="TableContents"/>
              <w:bidi w:val="0"/>
              <w:spacing w:before="0" w:after="0"/>
              <w:jc w:val="left"/>
              <w:rPr>
                <w:rFonts w:ascii="Times New Roman" w:hAnsi="Times New Roman"/>
                <w:b/>
                <w:sz w:val="18"/>
              </w:rPr>
            </w:pPr>
            <w:r>
              <w:rPr>
                <w:rFonts w:ascii="Times New Roman" w:hAnsi="Times New Roman"/>
                <w:b/>
                <w:sz w:val="18"/>
              </w:rPr>
              <w:t>Give form to the</w:t>
            </w:r>
          </w:p>
          <w:p>
            <w:pPr>
              <w:pStyle w:val="TableContents"/>
              <w:bidi w:val="0"/>
              <w:spacing w:before="0" w:after="0"/>
              <w:jc w:val="left"/>
              <w:rPr>
                <w:rFonts w:ascii="Times New Roman" w:hAnsi="Times New Roman"/>
                <w:b/>
                <w:sz w:val="18"/>
              </w:rPr>
            </w:pPr>
            <w:r>
              <w:rPr>
                <w:rFonts w:ascii="Times New Roman" w:hAnsi="Times New Roman"/>
                <w:b/>
                <w:sz w:val="18"/>
              </w:rPr>
              <w:t>requester. Do not</w:t>
            </w:r>
          </w:p>
          <w:p>
            <w:pPr>
              <w:pStyle w:val="TableContents"/>
              <w:bidi w:val="0"/>
              <w:spacing w:before="0" w:after="0"/>
              <w:jc w:val="left"/>
              <w:rPr>
                <w:rFonts w:ascii="Times New Roman" w:hAnsi="Times New Roman"/>
                <w:b/>
                <w:sz w:val="18"/>
              </w:rPr>
            </w:pPr>
            <w:r>
              <w:rPr>
                <w:rFonts w:ascii="Times New Roman" w:hAnsi="Times New Roman"/>
                <w:b/>
                <w:sz w:val="18"/>
              </w:rPr>
              <w:t>send to the IRS.</w:t>
            </w:r>
          </w:p>
          <w:p>
            <w:pPr>
              <w:pStyle w:val="TableContents"/>
              <w:bidi w:val="0"/>
              <w:spacing w:before="0" w:after="20"/>
              <w:jc w:val="left"/>
              <w:rPr/>
            </w:pPr>
            <w:r>
              <w:rPr/>
              <w:t> </w:t>
            </w:r>
          </w:p>
        </w:tc>
      </w:tr>
    </w:tbl>
    <w:tbl>
      <w:tblPr>
        <w:tblW w:w="10560" w:type="dxa"/>
        <w:jc w:val="right"/>
        <w:tblInd w:w="0" w:type="dxa"/>
        <w:tblLayout w:type="fixed"/>
        <w:tblCellMar>
          <w:top w:w="0" w:type="dxa"/>
          <w:left w:w="0" w:type="dxa"/>
          <w:bottom w:w="0" w:type="dxa"/>
          <w:right w:w="0" w:type="dxa"/>
        </w:tblCellMar>
      </w:tblPr>
      <w:tblGrid>
        <w:gridCol w:w="980"/>
        <w:gridCol w:w="60"/>
        <w:gridCol w:w="2210"/>
        <w:gridCol w:w="60"/>
        <w:gridCol w:w="230"/>
        <w:gridCol w:w="60"/>
        <w:gridCol w:w="950"/>
        <w:gridCol w:w="60"/>
        <w:gridCol w:w="230"/>
        <w:gridCol w:w="60"/>
        <w:gridCol w:w="935"/>
        <w:gridCol w:w="60"/>
        <w:gridCol w:w="230"/>
        <w:gridCol w:w="60"/>
        <w:gridCol w:w="815"/>
        <w:gridCol w:w="60"/>
        <w:gridCol w:w="230"/>
        <w:gridCol w:w="60"/>
        <w:gridCol w:w="790"/>
        <w:gridCol w:w="60"/>
        <w:gridCol w:w="120"/>
        <w:gridCol w:w="60"/>
        <w:gridCol w:w="2180"/>
      </w:tblGrid>
      <w:tr>
        <w:trPr/>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7290" w:type="dxa"/>
            <w:gridSpan w:val="17"/>
            <w:tcBorders>
              <w:bottom w:val="single" w:sz="2" w:space="0" w:color="000000"/>
            </w:tcBorders>
            <w:tcMar>
              <w:bottom w:w="28" w:type="dxa"/>
            </w:tcMar>
            <w:vAlign w:val="center"/>
          </w:tcPr>
          <w:p>
            <w:pPr>
              <w:pStyle w:val="TableContents"/>
              <w:bidi w:val="0"/>
              <w:spacing w:before="0" w:after="283"/>
              <w:jc w:val="left"/>
              <w:rPr>
                <w:sz w:val="14"/>
              </w:rPr>
            </w:pPr>
            <w:r>
              <w:rPr>
                <w:b/>
                <w:sz w:val="14"/>
              </w:rPr>
              <w:t>Before you begin.</w:t>
            </w:r>
            <w:r>
              <w:rPr>
                <w:sz w:val="14"/>
              </w:rPr>
              <w:t xml:space="preserve"> For guidance related to the purpose of Form W-9, see </w:t>
            </w:r>
            <w:r>
              <w:rPr>
                <w:i/>
                <w:sz w:val="14"/>
              </w:rPr>
              <w:t>Purpose of Form</w:t>
            </w:r>
            <w:r>
              <w:rPr>
                <w:sz w:val="14"/>
              </w:rPr>
              <w:t>, below.</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79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1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980" w:type="dxa"/>
            <w:vMerge w:val="restart"/>
            <w:tcBorders>
              <w:right w:val="single" w:sz="2" w:space="0" w:color="000000"/>
            </w:tcBorders>
            <w:tcMar>
              <w:right w:w="28" w:type="dxa"/>
            </w:tcMar>
            <w:vAlign w:val="center"/>
          </w:tcPr>
          <w:p>
            <w:pPr>
              <w:pStyle w:val="TableContents"/>
              <w:bidi w:val="0"/>
              <w:spacing w:before="0" w:after="0"/>
              <w:jc w:val="center"/>
              <w:rPr>
                <w:rFonts w:ascii="ARIAL" w:hAnsi="ARIAL"/>
                <w:b/>
                <w:sz w:val="16"/>
              </w:rPr>
            </w:pPr>
            <w:r>
              <w:rPr>
                <w:rFonts w:ascii="ARIAL" w:hAnsi="ARIAL"/>
                <w:b/>
                <w:sz w:val="16"/>
              </w:rPr>
              <w:t>Print or type.</w:t>
            </w:r>
          </w:p>
          <w:p>
            <w:pPr>
              <w:pStyle w:val="TableContents"/>
              <w:bidi w:val="0"/>
              <w:spacing w:before="0" w:after="0"/>
              <w:jc w:val="center"/>
              <w:rPr>
                <w:rFonts w:ascii="ARIAL" w:hAnsi="ARIAL"/>
                <w:sz w:val="16"/>
              </w:rPr>
            </w:pPr>
            <w:r>
              <w:rPr>
                <w:rFonts w:ascii="ARIAL" w:hAnsi="ARIAL"/>
                <w:sz w:val="16"/>
              </w:rPr>
              <w:t xml:space="preserve">See </w:t>
            </w:r>
          </w:p>
          <w:p>
            <w:pPr>
              <w:pStyle w:val="TableContents"/>
              <w:bidi w:val="0"/>
              <w:spacing w:before="0" w:after="0"/>
              <w:jc w:val="center"/>
              <w:rPr>
                <w:rFonts w:ascii="ARIAL" w:hAnsi="ARIAL"/>
                <w:b/>
                <w:sz w:val="16"/>
              </w:rPr>
            </w:pPr>
            <w:r>
              <w:rPr>
                <w:rFonts w:ascii="ARIAL" w:hAnsi="ARIAL"/>
                <w:b/>
                <w:sz w:val="16"/>
              </w:rPr>
              <w:t xml:space="preserve">Specific Instructions </w:t>
            </w:r>
          </w:p>
          <w:p>
            <w:pPr>
              <w:pStyle w:val="TableContents"/>
              <w:bidi w:val="0"/>
              <w:spacing w:before="0" w:after="0"/>
              <w:jc w:val="center"/>
              <w:rPr>
                <w:rFonts w:ascii="ARIAL" w:hAnsi="ARIAL"/>
                <w:sz w:val="16"/>
              </w:rPr>
            </w:pPr>
            <w:r>
              <w:rPr>
                <w:rFonts w:ascii="ARIAL" w:hAnsi="ARIAL"/>
                <w:sz w:val="16"/>
              </w:rPr>
              <w:t>on page 3.</w:t>
            </w:r>
          </w:p>
          <w:p>
            <w:pPr>
              <w:pStyle w:val="TableContents"/>
              <w:bidi w:val="0"/>
              <w:spacing w:before="0" w:after="20"/>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7280" w:type="dxa"/>
            <w:gridSpan w:val="19"/>
            <w:tcBorders>
              <w:bottom w:val="single" w:sz="2" w:space="0" w:color="000000"/>
            </w:tcBorders>
            <w:tcMar>
              <w:bottom w:w="28" w:type="dxa"/>
            </w:tcMar>
            <w:vAlign w:val="bottom"/>
          </w:tcPr>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b/>
                <w:sz w:val="14"/>
              </w:rPr>
              <w:t>1</w:t>
            </w:r>
            <w:r>
              <w:rPr>
                <w:rFonts w:ascii="Times New Roman" w:hAnsi="Times New Roman"/>
                <w:sz w:val="14"/>
              </w:rPr>
              <w:t>   Name of entity/individual. An entry is required. (For a sole proprietor or disregarded entity, enter the owner’s name on line</w:t>
              <w:br/>
              <w:t>1, and enter the business/disregarded entity’s name on line 2.)</w:t>
            </w:r>
          </w:p>
          <w:p>
            <w:pPr>
              <w:pStyle w:val="TableContents"/>
              <w:bidi w:val="0"/>
              <w:spacing w:before="0" w:after="20"/>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1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980" w:type="dxa"/>
            <w:vMerge w:val="continue"/>
            <w:tcBorders>
              <w:right w:val="single" w:sz="2" w:space="0" w:color="000000"/>
            </w:tcBorders>
            <w:tcMar>
              <w:right w:w="28" w:type="dxa"/>
            </w:tcMar>
            <w:vAlign w:val="center"/>
          </w:tcPr>
          <w:p>
            <w:pPr>
              <w:pStyle w:val="Normal"/>
              <w:bidi w:val="0"/>
              <w:jc w:val="left"/>
              <w:rPr/>
            </w:pPr>
            <w:r>
              <w:rPr/>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5085" w:type="dxa"/>
            <w:gridSpan w:val="11"/>
            <w:tcBorders>
              <w:bottom w:val="single" w:sz="2" w:space="0" w:color="000000"/>
            </w:tcBorders>
            <w:tcMar>
              <w:bottom w:w="28" w:type="dxa"/>
            </w:tcMar>
            <w:vAlign w:val="bottom"/>
          </w:tcPr>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b/>
                <w:sz w:val="14"/>
              </w:rPr>
              <w:t>2</w:t>
            </w:r>
            <w:r>
              <w:rPr>
                <w:rFonts w:ascii="Times New Roman" w:hAnsi="Times New Roman"/>
                <w:sz w:val="14"/>
              </w:rPr>
              <w:t>   Business name/disregarded entity name, if different from above.</w:t>
            </w:r>
          </w:p>
          <w:p>
            <w:pPr>
              <w:pStyle w:val="TableContents"/>
              <w:bidi w:val="0"/>
              <w:spacing w:before="0" w:after="20"/>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81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3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79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1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980" w:type="dxa"/>
            <w:vMerge w:val="continue"/>
            <w:tcBorders>
              <w:right w:val="single" w:sz="2" w:space="0" w:color="000000"/>
            </w:tcBorders>
            <w:tcMar>
              <w:right w:w="28" w:type="dxa"/>
            </w:tcMar>
            <w:vAlign w:val="center"/>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7100" w:type="dxa"/>
            <w:gridSpan w:val="17"/>
            <w:tcBorders>
              <w:right w:val="single" w:sz="2" w:space="0" w:color="000000"/>
            </w:tcBorders>
            <w:tcMar>
              <w:right w:w="28" w:type="dxa"/>
            </w:tcMar>
            <w:vAlign w:val="bottom"/>
          </w:tcPr>
          <w:p>
            <w:pPr>
              <w:pStyle w:val="TableContents"/>
              <w:bidi w:val="0"/>
              <w:jc w:val="left"/>
              <w:rPr/>
            </w:pPr>
            <w:r>
              <w:rPr/>
              <w:t> </w:t>
            </w:r>
            <w:r>
              <w:rPr>
                <w:b/>
                <w:sz w:val="14"/>
              </w:rPr>
              <w:t>3a</w:t>
            </w:r>
            <w:r>
              <w:rPr>
                <w:sz w:val="14"/>
              </w:rPr>
              <w:t>  Check the appropriate box for federal tax classification of the entity/individual whose name is entered on line 1. Check only</w:t>
              <w:br/>
              <w:t>one of the following seven boxes.</w:t>
            </w:r>
            <w:r>
              <w:rPr/>
              <w:t xml:space="preserve"> </w:t>
            </w:r>
          </w:p>
          <w:p>
            <w:pPr>
              <w:pStyle w:val="TableContents"/>
              <w:bidi w:val="0"/>
              <w:spacing w:before="0" w:after="20"/>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2180" w:type="dxa"/>
            <w:vMerge w:val="restart"/>
            <w:tcBorders/>
          </w:tcPr>
          <w:p>
            <w:pPr>
              <w:pStyle w:val="TableContents"/>
              <w:bidi w:val="0"/>
              <w:jc w:val="left"/>
              <w:rPr/>
            </w:pPr>
            <w:r>
              <w:rPr>
                <w:sz w:val="14"/>
              </w:rPr>
              <w:t>4  Exemptions (codes apply only to</w:t>
              <w:br/>
              <w:t>certain entities, not individuals; see</w:t>
              <w:br/>
              <w:t>instructions on page 3):</w:t>
            </w:r>
            <w:r>
              <w:rPr/>
              <w:t xml:space="preserve"> </w:t>
            </w:r>
          </w:p>
          <w:p>
            <w:pPr>
              <w:pStyle w:val="TableContents"/>
              <w:bidi w:val="0"/>
              <w:spacing w:before="0" w:after="0"/>
              <w:jc w:val="left"/>
              <w:rPr/>
            </w:pPr>
            <w:r>
              <w:rPr/>
              <w:t> </w:t>
            </w:r>
          </w:p>
          <w:p>
            <w:pPr>
              <w:pStyle w:val="TableContents"/>
              <w:bidi w:val="0"/>
              <w:spacing w:before="0" w:after="0"/>
              <w:jc w:val="left"/>
              <w:rPr>
                <w:rFonts w:ascii="Times New Roman" w:hAnsi="Times New Roman"/>
                <w:sz w:val="14"/>
              </w:rPr>
            </w:pPr>
            <w:r>
              <w:rPr>
                <w:rFonts w:ascii="Times New Roman" w:hAnsi="Times New Roman"/>
                <w:sz w:val="14"/>
              </w:rPr>
              <w:t>Exempt payee code (if any) </w:t>
            </w:r>
          </w:p>
          <w:p>
            <w:pPr>
              <w:pStyle w:val="TableContents"/>
              <w:bidi w:val="0"/>
              <w:spacing w:before="0" w:after="0"/>
              <w:jc w:val="left"/>
              <w:rPr/>
            </w:pPr>
            <w:r>
              <w:rPr/>
              <w:t> </w:t>
            </w:r>
          </w:p>
          <w:p>
            <w:pPr>
              <w:pStyle w:val="TableContents"/>
              <w:bidi w:val="0"/>
              <w:spacing w:before="0" w:after="0"/>
              <w:jc w:val="left"/>
              <w:rPr>
                <w:rFonts w:ascii="Times New Roman" w:hAnsi="Times New Roman"/>
                <w:sz w:val="14"/>
              </w:rPr>
            </w:pPr>
            <w:r>
              <w:rPr>
                <w:rFonts w:ascii="Times New Roman" w:hAnsi="Times New Roman"/>
                <w:sz w:val="14"/>
              </w:rPr>
              <w:t>Exemption from Foreign Account Tax</w:t>
              <w:br/>
              <w:t>Compliance Act</w:t>
            </w:r>
          </w:p>
          <w:p>
            <w:pPr>
              <w:pStyle w:val="TableContents"/>
              <w:bidi w:val="0"/>
              <w:spacing w:before="0" w:after="0"/>
              <w:jc w:val="left"/>
              <w:rPr>
                <w:rFonts w:ascii="Times New Roman" w:hAnsi="Times New Roman"/>
                <w:sz w:val="14"/>
              </w:rPr>
            </w:pPr>
            <w:r>
              <w:rPr>
                <w:rFonts w:ascii="Times New Roman" w:hAnsi="Times New Roman"/>
                <w:sz w:val="14"/>
              </w:rPr>
              <w:t>(FATCA) reporting code (if any)</w:t>
            </w:r>
          </w:p>
          <w:p>
            <w:pPr>
              <w:pStyle w:val="TableContents"/>
              <w:bidi w:val="0"/>
              <w:spacing w:before="0" w:after="0"/>
              <w:jc w:val="left"/>
              <w:rPr/>
            </w:pPr>
            <w:r>
              <w:rPr/>
              <w:t> </w:t>
            </w:r>
          </w:p>
          <w:p>
            <w:pPr>
              <w:pStyle w:val="TableContents"/>
              <w:bidi w:val="0"/>
              <w:spacing w:before="0" w:after="0"/>
              <w:jc w:val="left"/>
              <w:rPr>
                <w:rFonts w:ascii="Times New Roman" w:hAnsi="Times New Roman"/>
                <w:i/>
                <w:sz w:val="14"/>
              </w:rPr>
            </w:pPr>
            <w:r>
              <w:rPr>
                <w:rFonts w:ascii="Times New Roman" w:hAnsi="Times New Roman"/>
                <w:i/>
                <w:sz w:val="14"/>
              </w:rPr>
              <w:t xml:space="preserve">(Applies to accounts </w:t>
            </w:r>
          </w:p>
          <w:p>
            <w:pPr>
              <w:pStyle w:val="TableContents"/>
              <w:bidi w:val="0"/>
              <w:spacing w:before="0" w:after="0"/>
              <w:jc w:val="left"/>
              <w:rPr>
                <w:rFonts w:ascii="Times New Roman" w:hAnsi="Times New Roman"/>
                <w:i/>
                <w:sz w:val="14"/>
              </w:rPr>
            </w:pPr>
            <w:r>
              <w:rPr>
                <w:rFonts w:ascii="Times New Roman" w:hAnsi="Times New Roman"/>
                <w:i/>
                <w:sz w:val="14"/>
              </w:rPr>
              <w:t xml:space="preserve">maintained outside the </w:t>
            </w:r>
          </w:p>
          <w:p>
            <w:pPr>
              <w:pStyle w:val="TableContents"/>
              <w:bidi w:val="0"/>
              <w:spacing w:before="0" w:after="0"/>
              <w:jc w:val="left"/>
              <w:rPr>
                <w:rFonts w:ascii="Times New Roman" w:hAnsi="Times New Roman"/>
                <w:i/>
                <w:sz w:val="14"/>
              </w:rPr>
            </w:pPr>
            <w:r>
              <w:rPr>
                <w:rFonts w:ascii="Times New Roman" w:hAnsi="Times New Roman"/>
                <w:i/>
                <w:sz w:val="14"/>
              </w:rPr>
              <w:t>United States.)</w:t>
            </w:r>
          </w:p>
          <w:p>
            <w:pPr>
              <w:pStyle w:val="TableContents"/>
              <w:bidi w:val="0"/>
              <w:spacing w:before="0" w:after="20"/>
              <w:jc w:val="left"/>
              <w:rPr/>
            </w:pPr>
            <w:r>
              <w:rPr/>
              <w:t> </w:t>
            </w:r>
          </w:p>
        </w:tc>
      </w:tr>
      <w:tr>
        <w:trPr/>
        <w:tc>
          <w:tcPr>
            <w:tcW w:w="980" w:type="dxa"/>
            <w:vMerge w:val="continue"/>
            <w:tcBorders>
              <w:right w:val="single" w:sz="2" w:space="0" w:color="000000"/>
            </w:tcBorders>
            <w:tcMar>
              <w:right w:w="28" w:type="dxa"/>
            </w:tcMar>
            <w:vAlign w:val="center"/>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210" w:type="dxa"/>
            <w:tcBorders/>
          </w:tcPr>
          <w:p>
            <w:pPr>
              <w:pStyle w:val="TableContents"/>
              <w:bidi w:val="0"/>
              <w:jc w:val="left"/>
              <w:rPr/>
            </w:pPr>
            <w:r>
              <w:rPr/>
              <w:t>   ☐</w:t>
            </w:r>
            <w:r>
              <w:rPr>
                <w:sz w:val="14"/>
              </w:rPr>
              <w:t>Individual/sole proprietor</w:t>
            </w:r>
            <w:r>
              <w:rPr/>
              <w:t xml:space="preserve"> </w:t>
            </w:r>
          </w:p>
          <w:p>
            <w:pPr>
              <w:pStyle w:val="TableContents"/>
              <w:bidi w:val="0"/>
              <w:spacing w:before="0" w:after="20"/>
              <w:jc w:val="left"/>
              <w:rPr/>
            </w:pPr>
            <w:r>
              <w:rPr/>
              <w:t> </w:t>
            </w:r>
          </w:p>
        </w:tc>
        <w:tc>
          <w:tcPr>
            <w:tcW w:w="60" w:type="dxa"/>
            <w:tcBorders/>
            <w:vAlign w:val="bottom"/>
          </w:tcPr>
          <w:p>
            <w:pPr>
              <w:pStyle w:val="TableContents"/>
              <w:bidi w:val="0"/>
              <w:spacing w:before="0" w:after="283"/>
              <w:jc w:val="left"/>
              <w:rPr/>
            </w:pPr>
            <w:r>
              <w:rPr/>
              <w:t> </w:t>
            </w:r>
          </w:p>
        </w:tc>
        <w:tc>
          <w:tcPr>
            <w:tcW w:w="230" w:type="dxa"/>
            <w:tcBorders/>
          </w:tcPr>
          <w:p>
            <w:pPr>
              <w:pStyle w:val="TableContents"/>
              <w:bidi w:val="0"/>
              <w:spacing w:before="0" w:after="283"/>
              <w:jc w:val="left"/>
              <w:rPr/>
            </w:pPr>
            <w:r>
              <w:rPr/>
              <w:t>☐</w:t>
            </w:r>
          </w:p>
        </w:tc>
        <w:tc>
          <w:tcPr>
            <w:tcW w:w="60" w:type="dxa"/>
            <w:tcBorders/>
            <w:vAlign w:val="bottom"/>
          </w:tcPr>
          <w:p>
            <w:pPr>
              <w:pStyle w:val="TableContents"/>
              <w:bidi w:val="0"/>
              <w:spacing w:before="0" w:after="283"/>
              <w:jc w:val="left"/>
              <w:rPr/>
            </w:pPr>
            <w:r>
              <w:rPr/>
              <w:t> </w:t>
            </w:r>
          </w:p>
        </w:tc>
        <w:tc>
          <w:tcPr>
            <w:tcW w:w="950" w:type="dxa"/>
            <w:tcBorders/>
          </w:tcPr>
          <w:p>
            <w:pPr>
              <w:pStyle w:val="TableContents"/>
              <w:bidi w:val="0"/>
              <w:spacing w:before="0" w:after="283"/>
              <w:jc w:val="left"/>
              <w:rPr>
                <w:sz w:val="14"/>
              </w:rPr>
            </w:pPr>
            <w:r>
              <w:rPr>
                <w:sz w:val="14"/>
              </w:rPr>
              <w:t>C corporation </w:t>
            </w:r>
          </w:p>
        </w:tc>
        <w:tc>
          <w:tcPr>
            <w:tcW w:w="60" w:type="dxa"/>
            <w:tcBorders/>
            <w:vAlign w:val="bottom"/>
          </w:tcPr>
          <w:p>
            <w:pPr>
              <w:pStyle w:val="TableContents"/>
              <w:bidi w:val="0"/>
              <w:spacing w:before="0" w:after="283"/>
              <w:jc w:val="left"/>
              <w:rPr/>
            </w:pPr>
            <w:r>
              <w:rPr/>
              <w:t> </w:t>
            </w:r>
          </w:p>
        </w:tc>
        <w:tc>
          <w:tcPr>
            <w:tcW w:w="230" w:type="dxa"/>
            <w:tcBorders/>
          </w:tcPr>
          <w:p>
            <w:pPr>
              <w:pStyle w:val="TableContents"/>
              <w:bidi w:val="0"/>
              <w:spacing w:before="0" w:after="283"/>
              <w:jc w:val="left"/>
              <w:rPr/>
            </w:pPr>
            <w:r>
              <w:rPr/>
              <w:t>☐</w:t>
            </w:r>
          </w:p>
        </w:tc>
        <w:tc>
          <w:tcPr>
            <w:tcW w:w="60" w:type="dxa"/>
            <w:tcBorders/>
            <w:vAlign w:val="bottom"/>
          </w:tcPr>
          <w:p>
            <w:pPr>
              <w:pStyle w:val="TableContents"/>
              <w:bidi w:val="0"/>
              <w:spacing w:before="0" w:after="283"/>
              <w:jc w:val="left"/>
              <w:rPr/>
            </w:pPr>
            <w:r>
              <w:rPr/>
              <w:t> </w:t>
            </w:r>
          </w:p>
        </w:tc>
        <w:tc>
          <w:tcPr>
            <w:tcW w:w="935" w:type="dxa"/>
            <w:tcBorders/>
          </w:tcPr>
          <w:p>
            <w:pPr>
              <w:pStyle w:val="TableContents"/>
              <w:bidi w:val="0"/>
              <w:spacing w:before="0" w:after="283"/>
              <w:jc w:val="left"/>
              <w:rPr>
                <w:sz w:val="14"/>
              </w:rPr>
            </w:pPr>
            <w:r>
              <w:rPr>
                <w:sz w:val="14"/>
              </w:rPr>
              <w:t>S corporation </w:t>
            </w:r>
          </w:p>
        </w:tc>
        <w:tc>
          <w:tcPr>
            <w:tcW w:w="60" w:type="dxa"/>
            <w:tcBorders/>
            <w:vAlign w:val="bottom"/>
          </w:tcPr>
          <w:p>
            <w:pPr>
              <w:pStyle w:val="TableContents"/>
              <w:bidi w:val="0"/>
              <w:spacing w:before="0" w:after="283"/>
              <w:jc w:val="left"/>
              <w:rPr/>
            </w:pPr>
            <w:r>
              <w:rPr/>
              <w:t> </w:t>
            </w:r>
          </w:p>
        </w:tc>
        <w:tc>
          <w:tcPr>
            <w:tcW w:w="230" w:type="dxa"/>
            <w:tcBorders/>
          </w:tcPr>
          <w:p>
            <w:pPr>
              <w:pStyle w:val="TableContents"/>
              <w:bidi w:val="0"/>
              <w:spacing w:before="0" w:after="283"/>
              <w:jc w:val="left"/>
              <w:rPr/>
            </w:pPr>
            <w:r>
              <w:rPr/>
              <w:t>☐</w:t>
            </w:r>
          </w:p>
        </w:tc>
        <w:tc>
          <w:tcPr>
            <w:tcW w:w="60" w:type="dxa"/>
            <w:tcBorders/>
            <w:vAlign w:val="bottom"/>
          </w:tcPr>
          <w:p>
            <w:pPr>
              <w:pStyle w:val="TableContents"/>
              <w:bidi w:val="0"/>
              <w:spacing w:before="0" w:after="283"/>
              <w:jc w:val="left"/>
              <w:rPr/>
            </w:pPr>
            <w:r>
              <w:rPr/>
              <w:t> </w:t>
            </w:r>
          </w:p>
        </w:tc>
        <w:tc>
          <w:tcPr>
            <w:tcW w:w="815" w:type="dxa"/>
            <w:tcBorders/>
          </w:tcPr>
          <w:p>
            <w:pPr>
              <w:pStyle w:val="TableContents"/>
              <w:bidi w:val="0"/>
              <w:spacing w:before="0" w:after="283"/>
              <w:jc w:val="left"/>
              <w:rPr>
                <w:sz w:val="14"/>
              </w:rPr>
            </w:pPr>
            <w:r>
              <w:rPr>
                <w:sz w:val="14"/>
              </w:rPr>
              <w:t>Partnership </w:t>
            </w:r>
          </w:p>
        </w:tc>
        <w:tc>
          <w:tcPr>
            <w:tcW w:w="60" w:type="dxa"/>
            <w:tcBorders/>
            <w:vAlign w:val="bottom"/>
          </w:tcPr>
          <w:p>
            <w:pPr>
              <w:pStyle w:val="TableContents"/>
              <w:bidi w:val="0"/>
              <w:spacing w:before="0" w:after="283"/>
              <w:jc w:val="left"/>
              <w:rPr/>
            </w:pPr>
            <w:r>
              <w:rPr/>
              <w:t> </w:t>
            </w:r>
          </w:p>
        </w:tc>
        <w:tc>
          <w:tcPr>
            <w:tcW w:w="230" w:type="dxa"/>
            <w:tcBorders/>
          </w:tcPr>
          <w:p>
            <w:pPr>
              <w:pStyle w:val="TableContents"/>
              <w:bidi w:val="0"/>
              <w:spacing w:before="0" w:after="283"/>
              <w:jc w:val="left"/>
              <w:rPr/>
            </w:pPr>
            <w:r>
              <w:rPr/>
              <w:t>☐</w:t>
            </w:r>
          </w:p>
        </w:tc>
        <w:tc>
          <w:tcPr>
            <w:tcW w:w="60" w:type="dxa"/>
            <w:tcBorders/>
            <w:vAlign w:val="bottom"/>
          </w:tcPr>
          <w:p>
            <w:pPr>
              <w:pStyle w:val="TableContents"/>
              <w:bidi w:val="0"/>
              <w:spacing w:before="0" w:after="283"/>
              <w:jc w:val="left"/>
              <w:rPr/>
            </w:pPr>
            <w:r>
              <w:rPr/>
              <w:t> </w:t>
            </w:r>
          </w:p>
        </w:tc>
        <w:tc>
          <w:tcPr>
            <w:tcW w:w="790" w:type="dxa"/>
            <w:tcBorders>
              <w:right w:val="single" w:sz="2" w:space="0" w:color="000000"/>
            </w:tcBorders>
            <w:tcMar>
              <w:right w:w="28" w:type="dxa"/>
            </w:tcMar>
          </w:tcPr>
          <w:p>
            <w:pPr>
              <w:pStyle w:val="TableContents"/>
              <w:bidi w:val="0"/>
              <w:spacing w:before="0" w:after="283"/>
              <w:jc w:val="left"/>
              <w:rPr>
                <w:sz w:val="14"/>
              </w:rPr>
            </w:pPr>
            <w:r>
              <w:rPr>
                <w:sz w:val="14"/>
              </w:rPr>
              <w:t>Trust/estate 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2180" w:type="dxa"/>
            <w:vMerge w:val="continue"/>
            <w:tcBorders/>
          </w:tcPr>
          <w:p>
            <w:pPr>
              <w:pStyle w:val="Normal"/>
              <w:bidi w:val="0"/>
              <w:jc w:val="left"/>
              <w:rPr/>
            </w:pPr>
            <w:r>
              <w:rPr/>
            </w:r>
          </w:p>
        </w:tc>
      </w:tr>
      <w:tr>
        <w:trPr/>
        <w:tc>
          <w:tcPr>
            <w:tcW w:w="980" w:type="dxa"/>
            <w:vMerge w:val="continue"/>
            <w:tcBorders>
              <w:right w:val="single" w:sz="2" w:space="0" w:color="000000"/>
            </w:tcBorders>
            <w:tcMar>
              <w:right w:w="28" w:type="dxa"/>
            </w:tcMar>
            <w:vAlign w:val="center"/>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7100" w:type="dxa"/>
            <w:gridSpan w:val="17"/>
            <w:tcBorders/>
          </w:tcPr>
          <w:p>
            <w:pPr>
              <w:pStyle w:val="TableContents"/>
              <w:bidi w:val="0"/>
              <w:jc w:val="left"/>
              <w:rPr/>
            </w:pPr>
            <w:r>
              <w:rPr/>
              <w:t>   ☐</w:t>
            </w:r>
            <w:r>
              <w:rPr>
                <w:sz w:val="14"/>
              </w:rPr>
              <w:t>LLC. Enter the tax classification (C = C corporation, S = S corporation, P = Partnership) </w:t>
            </w:r>
            <w:r>
              <w:rPr>
                <w:sz w:val="14"/>
                <w:u w:val="single"/>
              </w:rPr>
              <w:t>                                         </w:t>
            </w:r>
            <w:r>
              <w:rPr/>
              <w:t xml:space="preserve"> </w:t>
            </w:r>
          </w:p>
          <w:p>
            <w:pPr>
              <w:pStyle w:val="TableContents"/>
              <w:bidi w:val="0"/>
              <w:spacing w:before="0" w:after="0"/>
              <w:jc w:val="left"/>
              <w:rPr/>
            </w:pPr>
            <w:r>
              <w:rPr/>
              <w:t> </w:t>
            </w:r>
          </w:p>
          <w:p>
            <w:pPr>
              <w:pStyle w:val="TableContents"/>
              <w:bidi w:val="0"/>
              <w:spacing w:before="0" w:after="0"/>
              <w:jc w:val="left"/>
              <w:rPr>
                <w:rFonts w:ascii="Times New Roman" w:hAnsi="Times New Roman"/>
                <w:sz w:val="14"/>
              </w:rPr>
            </w:pPr>
            <w:r>
              <w:rPr>
                <w:rFonts w:ascii="Times New Roman" w:hAnsi="Times New Roman"/>
                <w:b/>
                <w:sz w:val="14"/>
              </w:rPr>
              <w:t>Note:</w:t>
            </w:r>
            <w:r>
              <w:rPr>
                <w:rFonts w:ascii="Times New Roman" w:hAnsi="Times New Roman"/>
                <w:sz w:val="14"/>
              </w:rPr>
              <w:t xml:space="preserve"> Check the “LLC” box above and, in the entry space, enter the appropriate code (C, S, or P) for the tax</w:t>
              <w:br/>
              <w:t>classification of the LLC, unless it is a disregarded entity. A disregarded entity should instead check the appropriate box</w:t>
              <w:br/>
              <w:t>for the tax classification of its owner.</w:t>
            </w:r>
          </w:p>
          <w:p>
            <w:pPr>
              <w:pStyle w:val="TableContents"/>
              <w:bidi w:val="0"/>
              <w:spacing w:before="0" w:after="20"/>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2180" w:type="dxa"/>
            <w:vMerge w:val="continue"/>
            <w:tcBorders/>
          </w:tcPr>
          <w:p>
            <w:pPr>
              <w:pStyle w:val="Normal"/>
              <w:bidi w:val="0"/>
              <w:jc w:val="left"/>
              <w:rPr/>
            </w:pPr>
            <w:r>
              <w:rPr/>
            </w:r>
          </w:p>
        </w:tc>
      </w:tr>
      <w:tr>
        <w:trPr/>
        <w:tc>
          <w:tcPr>
            <w:tcW w:w="980" w:type="dxa"/>
            <w:vMerge w:val="continue"/>
            <w:tcBorders>
              <w:right w:val="single" w:sz="2" w:space="0" w:color="000000"/>
            </w:tcBorders>
            <w:tcMar>
              <w:right w:w="28" w:type="dxa"/>
            </w:tcMar>
            <w:vAlign w:val="center"/>
          </w:tcPr>
          <w:p>
            <w:pPr>
              <w:pStyle w:val="Normal"/>
              <w:bidi w:val="0"/>
              <w:jc w:val="left"/>
              <w:rPr/>
            </w:pPr>
            <w:r>
              <w:rPr/>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7100" w:type="dxa"/>
            <w:gridSpan w:val="17"/>
            <w:tcBorders>
              <w:bottom w:val="single" w:sz="2" w:space="0" w:color="000000"/>
            </w:tcBorders>
            <w:tcMar>
              <w:bottom w:w="28" w:type="dxa"/>
            </w:tcMar>
          </w:tcPr>
          <w:p>
            <w:pPr>
              <w:pStyle w:val="TableContents"/>
              <w:bidi w:val="0"/>
              <w:jc w:val="left"/>
              <w:rPr/>
            </w:pPr>
            <w:r>
              <w:rPr/>
              <w:t>   ☐</w:t>
            </w:r>
            <w:r>
              <w:rPr>
                <w:sz w:val="14"/>
              </w:rPr>
              <w:t>Other (see instructions)</w:t>
            </w:r>
            <w:r>
              <w:rPr/>
              <w:t xml:space="preserve"> </w:t>
            </w:r>
          </w:p>
          <w:p>
            <w:pPr>
              <w:pStyle w:val="TableContents"/>
              <w:bidi w:val="0"/>
              <w:spacing w:before="0" w:after="20"/>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2180" w:type="dxa"/>
            <w:vMerge w:val="continue"/>
            <w:tcBorders/>
          </w:tcPr>
          <w:p>
            <w:pPr>
              <w:pStyle w:val="Normal"/>
              <w:bidi w:val="0"/>
              <w:jc w:val="left"/>
              <w:rPr/>
            </w:pPr>
            <w:r>
              <w:rPr/>
            </w:r>
          </w:p>
        </w:tc>
      </w:tr>
      <w:tr>
        <w:trPr/>
        <w:tc>
          <w:tcPr>
            <w:tcW w:w="980" w:type="dxa"/>
            <w:vMerge w:val="continue"/>
            <w:tcBorders>
              <w:right w:val="single" w:sz="2" w:space="0" w:color="000000"/>
            </w:tcBorders>
            <w:tcMar>
              <w:right w:w="28" w:type="dxa"/>
            </w:tcMar>
            <w:vAlign w:val="center"/>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7100" w:type="dxa"/>
            <w:gridSpan w:val="17"/>
            <w:tcBorders>
              <w:right w:val="single" w:sz="2" w:space="0" w:color="000000"/>
            </w:tcBorders>
            <w:tcMar>
              <w:right w:w="28" w:type="dxa"/>
            </w:tcMar>
            <w:vAlign w:val="bottom"/>
          </w:tcPr>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b/>
                <w:sz w:val="14"/>
              </w:rPr>
              <w:t>3b  </w:t>
            </w:r>
            <w:r>
              <w:rPr>
                <w:rFonts w:ascii="Times New Roman" w:hAnsi="Times New Roman"/>
                <w:sz w:val="14"/>
              </w:rPr>
              <w:t>If on line 3a you checked “Partnership” or “Trust/estate,” or checked “LLC” and entered “P” as its tax classification, and</w:t>
              <w:br/>
              <w:t>you are providing this form to a partnership, trust, or estate in which you have an ownership interest, check this box if you</w:t>
              <w:br/>
              <w:t>have any foreign partners, owners, or beneficiaries. See instructions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2180" w:type="dxa"/>
            <w:vMerge w:val="continue"/>
            <w:tcBorders/>
          </w:tcPr>
          <w:p>
            <w:pPr>
              <w:pStyle w:val="Normal"/>
              <w:bidi w:val="0"/>
              <w:jc w:val="left"/>
              <w:rPr/>
            </w:pPr>
            <w:r>
              <w:rPr/>
            </w:r>
          </w:p>
        </w:tc>
      </w:tr>
      <w:tr>
        <w:trPr/>
        <w:tc>
          <w:tcPr>
            <w:tcW w:w="98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5085" w:type="dxa"/>
            <w:gridSpan w:val="11"/>
            <w:tcBorders>
              <w:top w:val="single" w:sz="2" w:space="0" w:color="000000"/>
              <w:bottom w:val="single" w:sz="2" w:space="0" w:color="000000"/>
            </w:tcBorders>
            <w:tcMar>
              <w:top w:w="28" w:type="dxa"/>
              <w:bottom w:w="28" w:type="dxa"/>
            </w:tcMar>
            <w:vAlign w:val="bottom"/>
          </w:tcPr>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b/>
                <w:sz w:val="14"/>
              </w:rPr>
              <w:t>5</w:t>
            </w:r>
            <w:r>
              <w:rPr>
                <w:rFonts w:ascii="Times New Roman" w:hAnsi="Times New Roman"/>
                <w:sz w:val="14"/>
              </w:rPr>
              <w:t>   Address (number, street, and apt. or suite no.). See instructions.</w:t>
            </w:r>
          </w:p>
          <w:p>
            <w:pPr>
              <w:pStyle w:val="TableContents"/>
              <w:bidi w:val="0"/>
              <w:spacing w:before="0" w:after="20"/>
              <w:jc w:val="left"/>
              <w:rPr/>
            </w:pPr>
            <w:r>
              <w:rP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81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60" w:type="dxa"/>
            <w:tcBorders>
              <w:top w:val="single" w:sz="2" w:space="0" w:color="000000"/>
            </w:tcBorders>
            <w:tcMar>
              <w:top w:w="28" w:type="dxa"/>
            </w:tcMar>
            <w:vAlign w:val="bottom"/>
          </w:tcPr>
          <w:p>
            <w:pPr>
              <w:pStyle w:val="TableContents"/>
              <w:bidi w:val="0"/>
              <w:spacing w:before="0" w:after="283"/>
              <w:jc w:val="left"/>
              <w:rPr/>
            </w:pPr>
            <w:r>
              <w:rPr/>
              <w:t> </w:t>
            </w:r>
          </w:p>
        </w:tc>
        <w:tc>
          <w:tcPr>
            <w:tcW w:w="3500" w:type="dxa"/>
            <w:gridSpan w:val="7"/>
            <w:tcBorders>
              <w:top w:val="single" w:sz="2" w:space="0" w:color="000000"/>
            </w:tcBorders>
            <w:tcMar>
              <w:top w:w="28" w:type="dxa"/>
            </w:tcMar>
          </w:tcPr>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14"/>
              </w:rPr>
              <w:t>Requester’s name and address (optional)</w:t>
            </w:r>
          </w:p>
        </w:tc>
      </w:tr>
      <w:tr>
        <w:trPr/>
        <w:tc>
          <w:tcPr>
            <w:tcW w:w="98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85" w:type="dxa"/>
            <w:gridSpan w:val="11"/>
            <w:tcBorders/>
            <w:vAlign w:val="bottom"/>
          </w:tcPr>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b/>
                <w:sz w:val="14"/>
              </w:rPr>
              <w:t>6</w:t>
            </w:r>
            <w:r>
              <w:rPr>
                <w:rFonts w:ascii="Times New Roman" w:hAnsi="Times New Roman"/>
                <w:sz w:val="14"/>
              </w:rPr>
              <w:t>   City, state, and ZIP code</w:t>
            </w:r>
          </w:p>
          <w:p>
            <w:pPr>
              <w:pStyle w:val="TableContents"/>
              <w:bidi w:val="0"/>
              <w:spacing w:before="0" w:after="20"/>
              <w:jc w:val="left"/>
              <w:rPr/>
            </w:pPr>
            <w:r>
              <w:rPr/>
              <w:t> </w:t>
            </w:r>
          </w:p>
        </w:tc>
        <w:tc>
          <w:tcPr>
            <w:tcW w:w="60" w:type="dxa"/>
            <w:tcBorders/>
            <w:vAlign w:val="bottom"/>
          </w:tcPr>
          <w:p>
            <w:pPr>
              <w:pStyle w:val="TableContents"/>
              <w:bidi w:val="0"/>
              <w:spacing w:before="0" w:after="283"/>
              <w:jc w:val="left"/>
              <w:rPr/>
            </w:pPr>
            <w:r>
              <w:rPr/>
              <w:t> </w:t>
            </w:r>
          </w:p>
        </w:tc>
        <w:tc>
          <w:tcPr>
            <w:tcW w:w="81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500" w:type="dxa"/>
            <w:gridSpan w:val="7"/>
            <w:tcBorders>
              <w:bottom w:val="single" w:sz="2" w:space="0" w:color="000000"/>
            </w:tcBorders>
            <w:tcMar>
              <w:bottom w:w="28" w:type="dxa"/>
            </w:tcMar>
          </w:tcPr>
          <w:p>
            <w:pPr>
              <w:pStyle w:val="TableContents"/>
              <w:bidi w:val="0"/>
              <w:spacing w:before="0" w:after="283"/>
              <w:jc w:val="left"/>
              <w:rPr/>
            </w:pPr>
            <w:r>
              <w:rPr/>
              <w:t>  </w:t>
            </w:r>
          </w:p>
        </w:tc>
      </w:tr>
      <w:tr>
        <w:trPr/>
        <w:tc>
          <w:tcPr>
            <w:tcW w:w="98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top w:val="single" w:sz="2" w:space="0" w:color="000000"/>
            </w:tcBorders>
            <w:tcMar>
              <w:top w:w="28" w:type="dxa"/>
            </w:tcMar>
            <w:vAlign w:val="bottom"/>
          </w:tcPr>
          <w:p>
            <w:pPr>
              <w:pStyle w:val="TableContents"/>
              <w:bidi w:val="0"/>
              <w:spacing w:before="0" w:after="283"/>
              <w:jc w:val="left"/>
              <w:rPr/>
            </w:pPr>
            <w:r>
              <w:rPr/>
              <w:t> </w:t>
            </w:r>
          </w:p>
        </w:tc>
        <w:tc>
          <w:tcPr>
            <w:tcW w:w="5085" w:type="dxa"/>
            <w:gridSpan w:val="11"/>
            <w:tcBorders>
              <w:top w:val="single" w:sz="2" w:space="0" w:color="000000"/>
            </w:tcBorders>
            <w:tcMar>
              <w:top w:w="28" w:type="dxa"/>
            </w:tcMar>
            <w:vAlign w:val="bottom"/>
          </w:tcPr>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b/>
                <w:sz w:val="14"/>
              </w:rPr>
              <w:t>7</w:t>
            </w:r>
            <w:r>
              <w:rPr>
                <w:rFonts w:ascii="Times New Roman" w:hAnsi="Times New Roman"/>
                <w:sz w:val="14"/>
              </w:rPr>
              <w:t>   List account number(s) here (optional)</w:t>
            </w:r>
          </w:p>
          <w:p>
            <w:pPr>
              <w:pStyle w:val="TableContents"/>
              <w:bidi w:val="0"/>
              <w:spacing w:before="0" w:after="20"/>
              <w:jc w:val="left"/>
              <w:rPr/>
            </w:pPr>
            <w:r>
              <w:rPr/>
              <w:t> </w:t>
            </w:r>
          </w:p>
        </w:tc>
        <w:tc>
          <w:tcPr>
            <w:tcW w:w="60" w:type="dxa"/>
            <w:tcBorders>
              <w:top w:val="single" w:sz="2" w:space="0" w:color="000000"/>
            </w:tcBorders>
            <w:tcMar>
              <w:top w:w="28" w:type="dxa"/>
            </w:tcMar>
            <w:vAlign w:val="bottom"/>
          </w:tcPr>
          <w:p>
            <w:pPr>
              <w:pStyle w:val="TableContents"/>
              <w:bidi w:val="0"/>
              <w:spacing w:before="0" w:after="283"/>
              <w:jc w:val="left"/>
              <w:rPr/>
            </w:pPr>
            <w:r>
              <w:rPr/>
              <w:t> </w:t>
            </w:r>
          </w:p>
        </w:tc>
        <w:tc>
          <w:tcPr>
            <w:tcW w:w="815" w:type="dxa"/>
            <w:tcBorders>
              <w:top w:val="single" w:sz="2" w:space="0" w:color="000000"/>
            </w:tcBorders>
            <w:tcMar>
              <w:top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0" w:type="dxa"/>
            <w:tcBorders/>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611"/>
        <w:gridCol w:w="305"/>
        <w:gridCol w:w="9289"/>
      </w:tblGrid>
      <w:tr>
        <w:trPr/>
        <w:tc>
          <w:tcPr>
            <w:tcW w:w="611"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9289" w:type="dxa"/>
            <w:tcBorders/>
            <w:vAlign w:val="center"/>
          </w:tcPr>
          <w:p>
            <w:pPr>
              <w:pStyle w:val="TableContents"/>
              <w:bidi w:val="0"/>
              <w:spacing w:before="0" w:after="283"/>
              <w:jc w:val="left"/>
              <w:rPr>
                <w:sz w:val="4"/>
                <w:szCs w:val="4"/>
              </w:rPr>
            </w:pPr>
            <w:r>
              <w:rPr>
                <w:sz w:val="4"/>
                <w:szCs w:val="4"/>
              </w:rPr>
            </w:r>
          </w:p>
        </w:tc>
      </w:tr>
      <w:tr>
        <w:trPr/>
        <w:tc>
          <w:tcPr>
            <w:tcW w:w="611" w:type="dxa"/>
            <w:tcBorders>
              <w:top w:val="single" w:sz="2" w:space="0" w:color="000000"/>
            </w:tcBorders>
            <w:shd w:fill="000000" w:val="clear"/>
            <w:tcMar>
              <w:top w:w="28" w:type="dxa"/>
            </w:tcMa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rFonts w:ascii="Times New Roman" w:hAnsi="Times New Roman"/>
                <w:b/>
                <w:color w:val="FFFFFF"/>
                <w:sz w:val="20"/>
              </w:rPr>
            </w:pPr>
            <w:r>
              <w:rPr>
                <w:rFonts w:ascii="Times New Roman" w:hAnsi="Times New Roman"/>
                <w:b/>
                <w:color w:val="FFFFFF"/>
                <w:sz w:val="20"/>
              </w:rPr>
              <w:t>Part I</w:t>
            </w:r>
          </w:p>
        </w:tc>
        <w:tc>
          <w:tcPr>
            <w:tcW w:w="305" w:type="dxa"/>
            <w:tcBorders>
              <w:top w:val="single" w:sz="8" w:space="0" w:color="000000"/>
            </w:tcBorders>
            <w:tcMar>
              <w:top w:w="28" w:type="dxa"/>
            </w:tcMar>
            <w:vAlign w:val="bottom"/>
          </w:tcPr>
          <w:p>
            <w:pPr>
              <w:pStyle w:val="TableContents"/>
              <w:bidi w:val="0"/>
              <w:spacing w:before="0" w:after="283"/>
              <w:jc w:val="left"/>
              <w:rPr/>
            </w:pPr>
            <w:r>
              <w:rPr/>
              <w:t>    </w:t>
            </w:r>
          </w:p>
        </w:tc>
        <w:tc>
          <w:tcPr>
            <w:tcW w:w="9289" w:type="dxa"/>
            <w:tcBorders>
              <w:top w:val="single" w:sz="8" w:space="0" w:color="000000"/>
            </w:tcBorders>
            <w:tcMar>
              <w:top w:w="28" w:type="dxa"/>
            </w:tcMar>
            <w:vAlign w:val="bottom"/>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rFonts w:ascii="Times New Roman" w:hAnsi="Times New Roman"/>
                <w:b/>
                <w:sz w:val="20"/>
              </w:rPr>
            </w:pPr>
            <w:r>
              <w:rPr>
                <w:rFonts w:ascii="Times New Roman" w:hAnsi="Times New Roman"/>
                <w:b/>
                <w:sz w:val="20"/>
              </w:rPr>
              <w:t>Taxpayer Identification Number (TIN)</w:t>
            </w:r>
          </w:p>
        </w:tc>
      </w:tr>
    </w:tbl>
    <w:tbl>
      <w:tblPr>
        <w:tblW w:w="5000" w:type="pct"/>
        <w:jc w:val="left"/>
        <w:tblInd w:w="0" w:type="dxa"/>
        <w:tblLayout w:type="fixed"/>
        <w:tblCellMar>
          <w:top w:w="0" w:type="dxa"/>
          <w:left w:w="0" w:type="dxa"/>
          <w:bottom w:w="0" w:type="dxa"/>
          <w:right w:w="0" w:type="dxa"/>
        </w:tblCellMar>
      </w:tblPr>
      <w:tblGrid>
        <w:gridCol w:w="5313"/>
        <w:gridCol w:w="102"/>
        <w:gridCol w:w="306"/>
        <w:gridCol w:w="101"/>
        <w:gridCol w:w="306"/>
        <w:gridCol w:w="102"/>
        <w:gridCol w:w="306"/>
        <w:gridCol w:w="102"/>
        <w:gridCol w:w="305"/>
        <w:gridCol w:w="102"/>
        <w:gridCol w:w="306"/>
        <w:gridCol w:w="102"/>
        <w:gridCol w:w="306"/>
        <w:gridCol w:w="102"/>
        <w:gridCol w:w="305"/>
        <w:gridCol w:w="102"/>
        <w:gridCol w:w="306"/>
        <w:gridCol w:w="102"/>
        <w:gridCol w:w="306"/>
        <w:gridCol w:w="101"/>
        <w:gridCol w:w="306"/>
        <w:gridCol w:w="102"/>
        <w:gridCol w:w="306"/>
        <w:gridCol w:w="102"/>
        <w:gridCol w:w="306"/>
      </w:tblGrid>
      <w:tr>
        <w:trPr/>
        <w:tc>
          <w:tcPr>
            <w:tcW w:w="531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5313" w:type="dxa"/>
            <w:vMerge w:val="restart"/>
            <w:tcBorders>
              <w:top w:val="single" w:sz="2" w:space="0" w:color="000000"/>
            </w:tcBorders>
            <w:tcMar>
              <w:top w:w="28" w:type="dxa"/>
            </w:tcMar>
          </w:tcPr>
          <w:p>
            <w:pPr>
              <w:pStyle w:val="TableContents"/>
              <w:bidi w:val="0"/>
              <w:spacing w:before="0" w:after="0"/>
              <w:jc w:val="left"/>
              <w:rPr>
                <w:rFonts w:ascii="Times New Roman" w:hAnsi="Times New Roman"/>
                <w:sz w:val="16"/>
              </w:rPr>
            </w:pPr>
            <w:r>
              <w:rPr>
                <w:rFonts w:ascii="Times New Roman" w:hAnsi="Times New Roman"/>
                <w:sz w:val="16"/>
              </w:rPr>
              <w:t xml:space="preserve">Enter your TIN in the appropriate box. The TIN provided must match the name given on line 1 to avoid backup withholding. For individuals, this is generally your social security number (SSN). However, for a resident alien, sole proprietor, or disregarded entity, see the instructions for Part I, later. For other entities, it is your employer identification number (EIN). If you do not have a number, see </w:t>
            </w:r>
            <w:r>
              <w:rPr>
                <w:rFonts w:ascii="Times New Roman" w:hAnsi="Times New Roman"/>
                <w:i/>
                <w:sz w:val="16"/>
              </w:rPr>
              <w:t>How to get a TIN</w:t>
            </w:r>
            <w:r>
              <w:rPr>
                <w:rFonts w:ascii="Times New Roman" w:hAnsi="Times New Roman"/>
                <w:sz w:val="16"/>
              </w:rPr>
              <w:t>, later.</w:t>
            </w:r>
          </w:p>
          <w:p>
            <w:pPr>
              <w:pStyle w:val="TableContents"/>
              <w:bidi w:val="0"/>
              <w:spacing w:before="0" w:after="20"/>
              <w:jc w:val="left"/>
              <w:rPr/>
            </w:pPr>
            <w:r>
              <w:rPr/>
              <w:t> </w:t>
            </w:r>
          </w:p>
        </w:tc>
        <w:tc>
          <w:tcPr>
            <w:tcW w:w="102" w:type="dxa"/>
            <w:vMerge w:val="restart"/>
            <w:tcBorders>
              <w:top w:val="single" w:sz="2" w:space="0" w:color="000000"/>
            </w:tcBorders>
            <w:tcMar>
              <w:top w:w="28" w:type="dxa"/>
            </w:tcMar>
            <w:vAlign w:val="bottom"/>
          </w:tcPr>
          <w:p>
            <w:pPr>
              <w:pStyle w:val="TableContents"/>
              <w:bidi w:val="0"/>
              <w:spacing w:before="0" w:after="283"/>
              <w:jc w:val="left"/>
              <w:rPr/>
            </w:pPr>
            <w:r>
              <w:rPr/>
              <w:t> </w:t>
            </w:r>
          </w:p>
        </w:tc>
        <w:tc>
          <w:tcPr>
            <w:tcW w:w="306" w:type="dxa"/>
            <w:vMerge w:val="restart"/>
            <w:tcBorders>
              <w:top w:val="single" w:sz="2" w:space="0" w:color="000000"/>
            </w:tcBorders>
            <w:tcMar>
              <w:top w:w="28" w:type="dxa"/>
            </w:tcMa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0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383" w:type="dxa"/>
            <w:gridSpan w:val="21"/>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5313" w:type="dxa"/>
            <w:vMerge w:val="continue"/>
            <w:tcBorders>
              <w:top w:val="single" w:sz="2" w:space="0" w:color="000000"/>
            </w:tcBorders>
            <w:tcMar>
              <w:top w:w="28" w:type="dxa"/>
            </w:tcMar>
          </w:tcPr>
          <w:p>
            <w:pPr>
              <w:pStyle w:val="Normal"/>
              <w:bidi w:val="0"/>
              <w:jc w:val="left"/>
              <w:rPr/>
            </w:pPr>
            <w:r>
              <w:rPr/>
            </w:r>
          </w:p>
        </w:tc>
        <w:tc>
          <w:tcPr>
            <w:tcW w:w="102" w:type="dxa"/>
            <w:vMerge w:val="continue"/>
            <w:tcBorders>
              <w:top w:val="single" w:sz="2" w:space="0" w:color="000000"/>
            </w:tcBorders>
            <w:tcMar>
              <w:top w:w="28" w:type="dxa"/>
            </w:tcMar>
            <w:vAlign w:val="bottom"/>
          </w:tcPr>
          <w:p>
            <w:pPr>
              <w:pStyle w:val="Normal"/>
              <w:bidi w:val="0"/>
              <w:jc w:val="left"/>
              <w:rPr/>
            </w:pPr>
            <w:r>
              <w:rPr/>
            </w:r>
          </w:p>
        </w:tc>
        <w:tc>
          <w:tcPr>
            <w:tcW w:w="306" w:type="dxa"/>
            <w:vMerge w:val="continue"/>
            <w:tcBorders>
              <w:top w:val="single" w:sz="2" w:space="0" w:color="000000"/>
            </w:tcBorders>
            <w:tcMar>
              <w:top w:w="28" w:type="dxa"/>
            </w:tcMar>
          </w:tcPr>
          <w:p>
            <w:pPr>
              <w:pStyle w:val="Normal"/>
              <w:bidi w:val="0"/>
              <w:jc w:val="left"/>
              <w:rPr/>
            </w:pPr>
            <w:r>
              <w:rPr/>
            </w:r>
          </w:p>
        </w:tc>
        <w:tc>
          <w:tcPr>
            <w:tcW w:w="101"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r>
      <w:tr>
        <w:trPr/>
        <w:tc>
          <w:tcPr>
            <w:tcW w:w="5313" w:type="dxa"/>
            <w:vMerge w:val="continue"/>
            <w:tcBorders>
              <w:top w:val="single" w:sz="2" w:space="0" w:color="000000"/>
            </w:tcBorders>
            <w:tcMar>
              <w:top w:w="28" w:type="dxa"/>
            </w:tcMar>
          </w:tcPr>
          <w:p>
            <w:pPr>
              <w:pStyle w:val="Normal"/>
              <w:bidi w:val="0"/>
              <w:jc w:val="left"/>
              <w:rPr/>
            </w:pPr>
            <w:r>
              <w:rPr/>
            </w:r>
          </w:p>
        </w:tc>
        <w:tc>
          <w:tcPr>
            <w:tcW w:w="102" w:type="dxa"/>
            <w:vMerge w:val="continue"/>
            <w:tcBorders>
              <w:top w:val="single" w:sz="2" w:space="0" w:color="000000"/>
            </w:tcBorders>
            <w:tcMar>
              <w:top w:w="28" w:type="dxa"/>
            </w:tcMar>
            <w:vAlign w:val="bottom"/>
          </w:tcPr>
          <w:p>
            <w:pPr>
              <w:pStyle w:val="Normal"/>
              <w:bidi w:val="0"/>
              <w:jc w:val="left"/>
              <w:rPr/>
            </w:pPr>
            <w:r>
              <w:rPr/>
            </w:r>
          </w:p>
        </w:tc>
        <w:tc>
          <w:tcPr>
            <w:tcW w:w="306" w:type="dxa"/>
            <w:vMerge w:val="continue"/>
            <w:tcBorders>
              <w:top w:val="single" w:sz="2" w:space="0" w:color="000000"/>
            </w:tcBorders>
            <w:tcMar>
              <w:top w:w="28" w:type="dxa"/>
            </w:tcMar>
          </w:tcPr>
          <w:p>
            <w:pPr>
              <w:pStyle w:val="Normal"/>
              <w:bidi w:val="0"/>
              <w:jc w:val="left"/>
              <w:rPr/>
            </w:pPr>
            <w:r>
              <w:rPr/>
            </w:r>
          </w:p>
        </w:tc>
        <w:tc>
          <w:tcPr>
            <w:tcW w:w="10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06"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102"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306"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102"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305"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0"/>
              <w:jc w:val="left"/>
              <w:rPr>
                <w:rFonts w:ascii="Times New Roman" w:hAnsi="Times New Roman"/>
                <w:sz w:val="28"/>
              </w:rPr>
            </w:pPr>
            <w:r>
              <w:rPr>
                <w:rFonts w:ascii="Times New Roman" w:hAnsi="Times New Roman"/>
                <w:sz w:val="28"/>
              </w:rPr>
              <w:t>- </w:t>
            </w:r>
          </w:p>
        </w:tc>
        <w:tc>
          <w:tcPr>
            <w:tcW w:w="10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06"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102"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305"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center"/>
              <w:rPr/>
            </w:pPr>
            <w:r>
              <w:rPr/>
              <w:t>- </w:t>
            </w:r>
          </w:p>
        </w:tc>
        <w:tc>
          <w:tcPr>
            <w:tcW w:w="10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06"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101"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306"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102"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306"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102"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306"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left"/>
              <w:rPr/>
            </w:pPr>
            <w:r>
              <w:rPr/>
              <w:t> </w:t>
            </w:r>
          </w:p>
        </w:tc>
      </w:tr>
      <w:tr>
        <w:trPr/>
        <w:tc>
          <w:tcPr>
            <w:tcW w:w="5313" w:type="dxa"/>
            <w:vMerge w:val="continue"/>
            <w:tcBorders>
              <w:top w:val="single" w:sz="2" w:space="0" w:color="000000"/>
            </w:tcBorders>
            <w:tcMar>
              <w:top w:w="28" w:type="dxa"/>
            </w:tcMar>
          </w:tcPr>
          <w:p>
            <w:pPr>
              <w:pStyle w:val="Normal"/>
              <w:bidi w:val="0"/>
              <w:jc w:val="left"/>
              <w:rPr/>
            </w:pPr>
            <w:r>
              <w:rPr/>
            </w:r>
          </w:p>
        </w:tc>
        <w:tc>
          <w:tcPr>
            <w:tcW w:w="102" w:type="dxa"/>
            <w:vMerge w:val="continue"/>
            <w:tcBorders>
              <w:top w:val="single" w:sz="2" w:space="0" w:color="000000"/>
            </w:tcBorders>
            <w:tcMar>
              <w:top w:w="28" w:type="dxa"/>
            </w:tcMar>
            <w:vAlign w:val="bottom"/>
          </w:tcPr>
          <w:p>
            <w:pPr>
              <w:pStyle w:val="Normal"/>
              <w:bidi w:val="0"/>
              <w:jc w:val="left"/>
              <w:rPr/>
            </w:pPr>
            <w:r>
              <w:rPr/>
            </w:r>
          </w:p>
        </w:tc>
        <w:tc>
          <w:tcPr>
            <w:tcW w:w="306" w:type="dxa"/>
            <w:vMerge w:val="continue"/>
            <w:tcBorders>
              <w:top w:val="single" w:sz="2" w:space="0" w:color="000000"/>
            </w:tcBorders>
            <w:tcMar>
              <w:top w:w="28" w:type="dxa"/>
            </w:tcMar>
          </w:tcPr>
          <w:p>
            <w:pPr>
              <w:pStyle w:val="Normal"/>
              <w:bidi w:val="0"/>
              <w:jc w:val="left"/>
              <w:rPr/>
            </w:pPr>
            <w:r>
              <w:rPr/>
            </w:r>
          </w:p>
        </w:tc>
        <w:tc>
          <w:tcPr>
            <w:tcW w:w="101" w:type="dxa"/>
            <w:tcBorders/>
            <w:vAlign w:val="bottom"/>
          </w:tcPr>
          <w:p>
            <w:pPr>
              <w:pStyle w:val="TableContents"/>
              <w:bidi w:val="0"/>
              <w:spacing w:before="0" w:after="283"/>
              <w:jc w:val="left"/>
              <w:rPr/>
            </w:pPr>
            <w:r>
              <w:rPr/>
              <w:t> </w:t>
            </w:r>
          </w:p>
        </w:tc>
        <w:tc>
          <w:tcPr>
            <w:tcW w:w="4383" w:type="dxa"/>
            <w:gridSpan w:val="21"/>
            <w:tcBorders/>
            <w:vAlign w:val="bottom"/>
          </w:tcPr>
          <w:p>
            <w:pPr>
              <w:pStyle w:val="TableContents"/>
              <w:bidi w:val="0"/>
              <w:spacing w:before="0" w:after="283"/>
              <w:jc w:val="left"/>
              <w:rPr>
                <w:b/>
                <w:sz w:val="16"/>
              </w:rPr>
            </w:pPr>
            <w:r>
              <w:rPr>
                <w:b/>
                <w:sz w:val="16"/>
              </w:rPr>
              <w:t>or</w:t>
            </w:r>
          </w:p>
        </w:tc>
      </w:tr>
    </w:tbl>
    <w:tbl>
      <w:tblPr>
        <w:tblW w:w="5000" w:type="pct"/>
        <w:jc w:val="left"/>
        <w:tblInd w:w="0" w:type="dxa"/>
        <w:tblLayout w:type="fixed"/>
        <w:tblCellMar>
          <w:top w:w="0" w:type="dxa"/>
          <w:left w:w="0" w:type="dxa"/>
          <w:bottom w:w="0" w:type="dxa"/>
          <w:right w:w="0" w:type="dxa"/>
        </w:tblCellMar>
      </w:tblPr>
      <w:tblGrid>
        <w:gridCol w:w="5413"/>
        <w:gridCol w:w="102"/>
        <w:gridCol w:w="306"/>
        <w:gridCol w:w="102"/>
        <w:gridCol w:w="306"/>
        <w:gridCol w:w="101"/>
        <w:gridCol w:w="306"/>
        <w:gridCol w:w="102"/>
        <w:gridCol w:w="204"/>
        <w:gridCol w:w="102"/>
        <w:gridCol w:w="306"/>
        <w:gridCol w:w="102"/>
        <w:gridCol w:w="306"/>
        <w:gridCol w:w="102"/>
        <w:gridCol w:w="306"/>
        <w:gridCol w:w="101"/>
        <w:gridCol w:w="306"/>
        <w:gridCol w:w="102"/>
        <w:gridCol w:w="306"/>
        <w:gridCol w:w="102"/>
        <w:gridCol w:w="306"/>
        <w:gridCol w:w="102"/>
        <w:gridCol w:w="306"/>
        <w:gridCol w:w="102"/>
        <w:gridCol w:w="306"/>
      </w:tblGrid>
      <w:tr>
        <w:trPr/>
        <w:tc>
          <w:tcPr>
            <w:tcW w:w="541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5413" w:type="dxa"/>
            <w:vMerge w:val="restart"/>
            <w:tcBorders/>
          </w:tcPr>
          <w:p>
            <w:pPr>
              <w:pStyle w:val="TableContents"/>
              <w:bidi w:val="0"/>
              <w:spacing w:before="0" w:after="283"/>
              <w:jc w:val="left"/>
              <w:rPr>
                <w:rFonts w:ascii="Times New Roman" w:hAnsi="Times New Roman"/>
                <w:sz w:val="16"/>
              </w:rPr>
            </w:pPr>
            <w:r>
              <w:rPr>
                <w:rFonts w:ascii="Times New Roman" w:hAnsi="Times New Roman"/>
                <w:b/>
                <w:sz w:val="16"/>
              </w:rPr>
              <w:t>Note:</w:t>
            </w:r>
            <w:r>
              <w:rPr>
                <w:rFonts w:ascii="Times New Roman" w:hAnsi="Times New Roman"/>
                <w:sz w:val="16"/>
              </w:rPr>
              <w:t xml:space="preserve"> If the account is in more than one name, see the instructions for line 1. See also </w:t>
            </w:r>
            <w:r>
              <w:rPr>
                <w:rFonts w:ascii="Times New Roman" w:hAnsi="Times New Roman"/>
                <w:i/>
                <w:sz w:val="16"/>
              </w:rPr>
              <w:t>What Name and Number To Give the Requester</w:t>
            </w:r>
            <w:r>
              <w:rPr>
                <w:rFonts w:ascii="Times New Roman" w:hAnsi="Times New Roman"/>
                <w:sz w:val="16"/>
              </w:rPr>
              <w:t xml:space="preserve"> for guidelines on whose number to enter.</w:t>
            </w:r>
          </w:p>
        </w:tc>
        <w:tc>
          <w:tcPr>
            <w:tcW w:w="102" w:type="dxa"/>
            <w:vMerge w:val="restart"/>
            <w:tcBorders/>
            <w:vAlign w:val="bottom"/>
          </w:tcPr>
          <w:p>
            <w:pPr>
              <w:pStyle w:val="TableContents"/>
              <w:bidi w:val="0"/>
              <w:spacing w:before="0" w:after="283"/>
              <w:jc w:val="left"/>
              <w:rPr/>
            </w:pPr>
            <w:r>
              <w:rPr/>
              <w:t> </w:t>
            </w:r>
          </w:p>
        </w:tc>
        <w:tc>
          <w:tcPr>
            <w:tcW w:w="306" w:type="dxa"/>
            <w:vMerge w:val="restart"/>
            <w:tcBorders/>
          </w:tcPr>
          <w:p>
            <w:pPr>
              <w:pStyle w:val="TableContents"/>
              <w:bidi w:val="0"/>
              <w:spacing w:before="0" w:after="283"/>
              <w:jc w:val="left"/>
              <w:rPr>
                <w:sz w:val="4"/>
                <w:szCs w:val="4"/>
              </w:rPr>
            </w:pPr>
            <w:r>
              <w:rPr>
                <w:sz w:val="4"/>
                <w:szCs w:val="4"/>
              </w:rPr>
            </w:r>
          </w:p>
        </w:tc>
        <w:tc>
          <w:tcPr>
            <w:tcW w:w="10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874" w:type="dxa"/>
            <w:gridSpan w:val="19"/>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0"/>
              <w:jc w:val="left"/>
              <w:rPr/>
            </w:pPr>
            <w:r>
              <w:rPr/>
              <w:t> </w:t>
            </w:r>
          </w:p>
          <w:p>
            <w:pPr>
              <w:pStyle w:val="TableContents"/>
              <w:bidi w:val="0"/>
              <w:spacing w:before="0" w:after="20"/>
              <w:jc w:val="left"/>
              <w:rPr/>
            </w:pPr>
            <w:r>
              <w:rPr/>
              <w:t> </w:t>
            </w:r>
          </w:p>
        </w:tc>
        <w:tc>
          <w:tcPr>
            <w:tcW w:w="102"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r>
      <w:tr>
        <w:trPr/>
        <w:tc>
          <w:tcPr>
            <w:tcW w:w="5413" w:type="dxa"/>
            <w:vMerge w:val="continue"/>
            <w:tcBorders/>
            <w:vAlign w:val="bottom"/>
          </w:tcPr>
          <w:p>
            <w:pPr>
              <w:pStyle w:val="Normal"/>
              <w:bidi w:val="0"/>
              <w:jc w:val="left"/>
              <w:rPr/>
            </w:pPr>
            <w:r>
              <w:rPr/>
            </w:r>
          </w:p>
        </w:tc>
        <w:tc>
          <w:tcPr>
            <w:tcW w:w="102" w:type="dxa"/>
            <w:vMerge w:val="continue"/>
            <w:tcBorders/>
            <w:vAlign w:val="bottom"/>
          </w:tcPr>
          <w:p>
            <w:pPr>
              <w:pStyle w:val="Normal"/>
              <w:bidi w:val="0"/>
              <w:jc w:val="left"/>
              <w:rPr/>
            </w:pPr>
            <w:r>
              <w:rPr/>
            </w:r>
          </w:p>
        </w:tc>
        <w:tc>
          <w:tcPr>
            <w:tcW w:w="306" w:type="dxa"/>
            <w:vMerge w:val="continue"/>
            <w:tcBorders/>
          </w:tcPr>
          <w:p>
            <w:pPr>
              <w:pStyle w:val="Normal"/>
              <w:bidi w:val="0"/>
              <w:jc w:val="left"/>
              <w:rPr/>
            </w:pPr>
            <w:r>
              <w:rPr/>
            </w:r>
          </w:p>
        </w:tc>
        <w:tc>
          <w:tcPr>
            <w:tcW w:w="102"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r>
      <w:tr>
        <w:trPr/>
        <w:tc>
          <w:tcPr>
            <w:tcW w:w="5413" w:type="dxa"/>
            <w:vMerge w:val="continue"/>
            <w:tcBorders/>
          </w:tcPr>
          <w:p>
            <w:pPr>
              <w:pStyle w:val="Normal"/>
              <w:bidi w:val="0"/>
              <w:jc w:val="left"/>
              <w:rPr/>
            </w:pPr>
            <w:r>
              <w:rPr/>
            </w:r>
          </w:p>
        </w:tc>
        <w:tc>
          <w:tcPr>
            <w:tcW w:w="102" w:type="dxa"/>
            <w:tcBorders/>
            <w:vAlign w:val="bottom"/>
          </w:tcPr>
          <w:p>
            <w:pPr>
              <w:pStyle w:val="TableContents"/>
              <w:bidi w:val="0"/>
              <w:spacing w:before="0" w:after="283"/>
              <w:jc w:val="left"/>
              <w:rPr/>
            </w:pPr>
            <w:r>
              <w:rPr/>
              <w:t> </w:t>
            </w:r>
          </w:p>
        </w:tc>
        <w:tc>
          <w:tcPr>
            <w:tcW w:w="306" w:type="dxa"/>
            <w:tcBorders/>
          </w:tcPr>
          <w:p>
            <w:pPr>
              <w:pStyle w:val="TableContents"/>
              <w:bidi w:val="0"/>
              <w:spacing w:before="0" w:after="283"/>
              <w:jc w:val="left"/>
              <w:rPr>
                <w:sz w:val="4"/>
                <w:szCs w:val="4"/>
              </w:rPr>
            </w:pPr>
            <w:r>
              <w:rPr>
                <w:sz w:val="4"/>
                <w:szCs w:val="4"/>
              </w:rPr>
            </w:r>
          </w:p>
        </w:tc>
        <w:tc>
          <w:tcPr>
            <w:tcW w:w="10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0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01"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306"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0"/>
              <w:jc w:val="left"/>
              <w:rPr>
                <w:rFonts w:ascii="Times New Roman" w:hAnsi="Times New Roman"/>
                <w:sz w:val="28"/>
              </w:rPr>
            </w:pPr>
            <w:r>
              <w:rPr>
                <w:rFonts w:ascii="Times New Roman" w:hAnsi="Times New Roman"/>
                <w:sz w:val="28"/>
              </w:rPr>
              <w:t>- </w:t>
            </w:r>
          </w:p>
        </w:tc>
        <w:tc>
          <w:tcPr>
            <w:tcW w:w="10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06"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102"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306"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102"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306"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101"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306"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102"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306"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102"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306"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102"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306"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0" w:type="dxa"/>
          <w:left w:w="0" w:type="dxa"/>
          <w:bottom w:w="0" w:type="dxa"/>
          <w:right w:w="0" w:type="dxa"/>
        </w:tblCellMar>
      </w:tblPr>
      <w:tblGrid>
        <w:gridCol w:w="611"/>
        <w:gridCol w:w="408"/>
        <w:gridCol w:w="9186"/>
      </w:tblGrid>
      <w:tr>
        <w:trPr/>
        <w:tc>
          <w:tcPr>
            <w:tcW w:w="611" w:type="dxa"/>
            <w:tcBorders/>
            <w:vAlign w:val="center"/>
          </w:tcPr>
          <w:p>
            <w:pPr>
              <w:pStyle w:val="TableContents"/>
              <w:bidi w:val="0"/>
              <w:spacing w:before="0" w:after="283"/>
              <w:jc w:val="left"/>
              <w:rPr>
                <w:sz w:val="4"/>
                <w:szCs w:val="4"/>
              </w:rPr>
            </w:pPr>
            <w:r>
              <w:rPr>
                <w:sz w:val="4"/>
                <w:szCs w:val="4"/>
              </w:rPr>
            </w:r>
          </w:p>
        </w:tc>
        <w:tc>
          <w:tcPr>
            <w:tcW w:w="408" w:type="dxa"/>
            <w:tcBorders/>
            <w:vAlign w:val="bottom"/>
          </w:tcPr>
          <w:p>
            <w:pPr>
              <w:pStyle w:val="TableContents"/>
              <w:bidi w:val="0"/>
              <w:spacing w:before="0" w:after="283"/>
              <w:jc w:val="left"/>
              <w:rPr>
                <w:sz w:val="4"/>
                <w:szCs w:val="4"/>
              </w:rPr>
            </w:pPr>
            <w:r>
              <w:rPr>
                <w:sz w:val="4"/>
                <w:szCs w:val="4"/>
              </w:rPr>
            </w:r>
          </w:p>
        </w:tc>
        <w:tc>
          <w:tcPr>
            <w:tcW w:w="9186" w:type="dxa"/>
            <w:tcBorders/>
            <w:vAlign w:val="center"/>
          </w:tcPr>
          <w:p>
            <w:pPr>
              <w:pStyle w:val="TableContents"/>
              <w:bidi w:val="0"/>
              <w:spacing w:before="0" w:after="283"/>
              <w:jc w:val="left"/>
              <w:rPr>
                <w:sz w:val="4"/>
                <w:szCs w:val="4"/>
              </w:rPr>
            </w:pPr>
            <w:r>
              <w:rPr>
                <w:sz w:val="4"/>
                <w:szCs w:val="4"/>
              </w:rPr>
            </w:r>
          </w:p>
        </w:tc>
      </w:tr>
      <w:tr>
        <w:trPr/>
        <w:tc>
          <w:tcPr>
            <w:tcW w:w="611" w:type="dxa"/>
            <w:tcBorders>
              <w:top w:val="single" w:sz="8" w:space="0" w:color="000000"/>
              <w:bottom w:val="single" w:sz="2" w:space="0" w:color="000000"/>
            </w:tcBorders>
            <w:shd w:fill="000000" w:val="clear"/>
            <w:tcMar>
              <w:top w:w="28" w:type="dxa"/>
              <w:bottom w:w="28" w:type="dxa"/>
            </w:tcMar>
          </w:tcPr>
          <w:p>
            <w:pPr>
              <w:pStyle w:val="TableContents"/>
              <w:bidi w:val="0"/>
              <w:spacing w:before="0" w:after="283"/>
              <w:jc w:val="center"/>
              <w:rPr>
                <w:b/>
                <w:color w:val="FFFFFF"/>
              </w:rPr>
            </w:pPr>
            <w:r>
              <w:rPr>
                <w:b/>
                <w:color w:val="FFFFFF"/>
              </w:rPr>
              <w:t>Part II</w:t>
            </w:r>
          </w:p>
        </w:tc>
        <w:tc>
          <w:tcPr>
            <w:tcW w:w="408" w:type="dxa"/>
            <w:tcBorders>
              <w:top w:val="single" w:sz="8"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9186" w:type="dxa"/>
            <w:tcBorders>
              <w:top w:val="single" w:sz="8" w:space="0" w:color="000000"/>
              <w:bottom w:val="single" w:sz="2" w:space="0" w:color="000000"/>
            </w:tcBorders>
            <w:tcMar>
              <w:top w:w="28" w:type="dxa"/>
              <w:bottom w:w="28" w:type="dxa"/>
            </w:tcMar>
          </w:tcPr>
          <w:p>
            <w:pPr>
              <w:pStyle w:val="TableContents"/>
              <w:bidi w:val="0"/>
              <w:spacing w:before="0" w:after="283"/>
              <w:jc w:val="left"/>
              <w:rPr>
                <w:b/>
              </w:rPr>
            </w:pPr>
            <w:r>
              <w:rPr>
                <w:b/>
              </w:rPr>
              <w:t>Certification</w:t>
            </w:r>
          </w:p>
        </w:tc>
      </w:tr>
    </w:tbl>
    <w:p>
      <w:pPr>
        <w:pStyle w:val="TextBody"/>
        <w:bidi w:val="0"/>
        <w:spacing w:before="40" w:after="0"/>
        <w:jc w:val="left"/>
        <w:rPr>
          <w:rFonts w:ascii="Times New Roman" w:hAnsi="Times New Roman"/>
          <w:sz w:val="16"/>
        </w:rPr>
      </w:pPr>
      <w:r>
        <w:rPr>
          <w:rFonts w:ascii="Times New Roman" w:hAnsi="Times New Roman"/>
          <w:sz w:val="16"/>
        </w:rPr>
        <w:t xml:space="preserve">Under penalties of perjury, I certify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
        <w:gridCol w:w="117"/>
        <w:gridCol w:w="9946"/>
      </w:tblGrid>
      <w:tr>
        <w:trPr/>
        <w:tc>
          <w:tcPr>
            <w:tcW w:w="142" w:type="dxa"/>
            <w:tcBorders/>
          </w:tcPr>
          <w:p>
            <w:pPr>
              <w:pStyle w:val="TableContents"/>
              <w:bidi w:val="0"/>
              <w:spacing w:before="0" w:after="283"/>
              <w:jc w:val="left"/>
              <w:rPr/>
            </w:pPr>
            <w:r>
              <w:rPr/>
              <w:t>1.</w:t>
            </w:r>
          </w:p>
        </w:tc>
        <w:tc>
          <w:tcPr>
            <w:tcW w:w="117" w:type="dxa"/>
            <w:tcBorders/>
          </w:tcPr>
          <w:p>
            <w:pPr>
              <w:pStyle w:val="TableContents"/>
              <w:bidi w:val="0"/>
              <w:spacing w:before="0" w:after="283"/>
              <w:jc w:val="left"/>
              <w:rPr/>
            </w:pPr>
            <w:r>
              <w:rPr/>
              <w:t> </w:t>
            </w:r>
          </w:p>
        </w:tc>
        <w:tc>
          <w:tcPr>
            <w:tcW w:w="9946" w:type="dxa"/>
            <w:tcBorders/>
          </w:tcPr>
          <w:p>
            <w:pPr>
              <w:pStyle w:val="TableContents"/>
              <w:bidi w:val="0"/>
              <w:spacing w:before="0" w:after="283"/>
              <w:jc w:val="left"/>
              <w:rPr/>
            </w:pPr>
            <w:r>
              <w:rPr/>
              <w:t xml:space="preserve">The number shown on this form is my correct taxpayer identification number (or I am waiting for a number to be issued to 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0"/>
        <w:gridCol w:w="116"/>
        <w:gridCol w:w="9949"/>
      </w:tblGrid>
      <w:tr>
        <w:trPr/>
        <w:tc>
          <w:tcPr>
            <w:tcW w:w="140" w:type="dxa"/>
            <w:tcBorders/>
          </w:tcPr>
          <w:p>
            <w:pPr>
              <w:pStyle w:val="TableContents"/>
              <w:bidi w:val="0"/>
              <w:spacing w:before="0" w:after="283"/>
              <w:jc w:val="left"/>
              <w:rPr/>
            </w:pPr>
            <w:r>
              <w:rPr/>
              <w:t>2.</w:t>
            </w:r>
          </w:p>
        </w:tc>
        <w:tc>
          <w:tcPr>
            <w:tcW w:w="116" w:type="dxa"/>
            <w:tcBorders/>
          </w:tcPr>
          <w:p>
            <w:pPr>
              <w:pStyle w:val="TableContents"/>
              <w:bidi w:val="0"/>
              <w:spacing w:before="0" w:after="283"/>
              <w:jc w:val="left"/>
              <w:rPr/>
            </w:pPr>
            <w:r>
              <w:rPr/>
              <w:t> </w:t>
            </w:r>
          </w:p>
        </w:tc>
        <w:tc>
          <w:tcPr>
            <w:tcW w:w="9949" w:type="dxa"/>
            <w:tcBorders/>
          </w:tcPr>
          <w:p>
            <w:pPr>
              <w:pStyle w:val="TableContents"/>
              <w:bidi w:val="0"/>
              <w:spacing w:before="0" w:after="283"/>
              <w:jc w:val="left"/>
              <w:rPr/>
            </w:pPr>
            <w:r>
              <w:rPr/>
              <w:t xml:space="preserve">I am not subject to backup withholding because (a) I am exempt from backup withholding, or (b) I have not been notified by the Internal Revenue Service (IRS) that I am subject to backup withholding as a result of a failure to report all interest or dividends, or (c) the IRS has notified me that I am no longer subject to backup withholding;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0"/>
        <w:gridCol w:w="116"/>
        <w:gridCol w:w="9949"/>
      </w:tblGrid>
      <w:tr>
        <w:trPr/>
        <w:tc>
          <w:tcPr>
            <w:tcW w:w="140" w:type="dxa"/>
            <w:tcBorders/>
          </w:tcPr>
          <w:p>
            <w:pPr>
              <w:pStyle w:val="TableContents"/>
              <w:bidi w:val="0"/>
              <w:spacing w:before="0" w:after="283"/>
              <w:jc w:val="left"/>
              <w:rPr/>
            </w:pPr>
            <w:r>
              <w:rPr/>
              <w:t>3.</w:t>
            </w:r>
          </w:p>
        </w:tc>
        <w:tc>
          <w:tcPr>
            <w:tcW w:w="116" w:type="dxa"/>
            <w:tcBorders/>
          </w:tcPr>
          <w:p>
            <w:pPr>
              <w:pStyle w:val="TableContents"/>
              <w:bidi w:val="0"/>
              <w:spacing w:before="0" w:after="283"/>
              <w:jc w:val="left"/>
              <w:rPr/>
            </w:pPr>
            <w:r>
              <w:rPr/>
              <w:t> </w:t>
            </w:r>
          </w:p>
        </w:tc>
        <w:tc>
          <w:tcPr>
            <w:tcW w:w="9949" w:type="dxa"/>
            <w:tcBorders/>
          </w:tcPr>
          <w:p>
            <w:pPr>
              <w:pStyle w:val="TableContents"/>
              <w:bidi w:val="0"/>
              <w:spacing w:before="0" w:after="283"/>
              <w:jc w:val="left"/>
              <w:rPr/>
            </w:pPr>
            <w:r>
              <w:rPr/>
              <w:t xml:space="preserve">I am a U.S. citizen or other U.S. person (defined below);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7"/>
        <w:gridCol w:w="119"/>
        <w:gridCol w:w="9939"/>
      </w:tblGrid>
      <w:tr>
        <w:trPr/>
        <w:tc>
          <w:tcPr>
            <w:tcW w:w="147" w:type="dxa"/>
            <w:tcBorders/>
          </w:tcPr>
          <w:p>
            <w:pPr>
              <w:pStyle w:val="TableContents"/>
              <w:bidi w:val="0"/>
              <w:spacing w:before="0" w:after="283"/>
              <w:jc w:val="left"/>
              <w:rPr/>
            </w:pPr>
            <w:r>
              <w:rPr/>
              <w:t>4.</w:t>
            </w:r>
          </w:p>
        </w:tc>
        <w:tc>
          <w:tcPr>
            <w:tcW w:w="119" w:type="dxa"/>
            <w:tcBorders/>
          </w:tcPr>
          <w:p>
            <w:pPr>
              <w:pStyle w:val="TableContents"/>
              <w:bidi w:val="0"/>
              <w:spacing w:before="0" w:after="283"/>
              <w:jc w:val="left"/>
              <w:rPr/>
            </w:pPr>
            <w:r>
              <w:rPr/>
              <w:t> </w:t>
            </w:r>
          </w:p>
        </w:tc>
        <w:tc>
          <w:tcPr>
            <w:tcW w:w="9939" w:type="dxa"/>
            <w:tcBorders/>
          </w:tcPr>
          <w:p>
            <w:pPr>
              <w:pStyle w:val="TableContents"/>
              <w:bidi w:val="0"/>
              <w:spacing w:before="0" w:after="283"/>
              <w:jc w:val="left"/>
              <w:rPr/>
            </w:pPr>
            <w:r>
              <w:rPr/>
              <w:t xml:space="preserve">The FATCA code(s) entered on this form (if any) indicating that I am exempt from FATCA reporting is correct. </w:t>
            </w:r>
          </w:p>
        </w:tc>
      </w:tr>
    </w:tbl>
    <w:p>
      <w:pPr>
        <w:pStyle w:val="TextBody"/>
        <w:bidi w:val="0"/>
        <w:spacing w:before="40" w:after="0"/>
        <w:jc w:val="left"/>
        <w:rPr>
          <w:rFonts w:ascii="Times New Roman" w:hAnsi="Times New Roman"/>
          <w:sz w:val="16"/>
        </w:rPr>
      </w:pPr>
      <w:r>
        <w:rPr>
          <w:rFonts w:ascii="Times New Roman" w:hAnsi="Times New Roman"/>
          <w:b/>
          <w:sz w:val="16"/>
        </w:rPr>
        <w:t>Certification instructions.</w:t>
      </w:r>
      <w:r>
        <w:rPr>
          <w:rFonts w:ascii="Times New Roman" w:hAnsi="Times New Roman"/>
          <w:sz w:val="16"/>
        </w:rPr>
        <w:t xml:space="preserve"> You must cross out item 2 above if you have been notified by the IRS that you are currently subject to backup withholding because you have failed to report all interest and dividends on your tax return. For real estate transactions, item 2 does not apply. For mortgage interest paid, acquisition or abandonment of secured property, cancellation of debt, contributions to an individual retirement arrangement (IRA), and, generally, payments other than interest and dividends, you are not required to sign the certification, but you must provide your correct TIN. See the instructions for Part II, later.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0"/>
        <w:gridCol w:w="96"/>
        <w:gridCol w:w="4688"/>
        <w:gridCol w:w="1855"/>
        <w:gridCol w:w="3126"/>
      </w:tblGrid>
      <w:tr>
        <w:trPr/>
        <w:tc>
          <w:tcPr>
            <w:tcW w:w="440"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4688" w:type="dxa"/>
            <w:tcBorders/>
            <w:vAlign w:val="center"/>
          </w:tcPr>
          <w:p>
            <w:pPr>
              <w:pStyle w:val="TableContents"/>
              <w:bidi w:val="0"/>
              <w:spacing w:before="0" w:after="283"/>
              <w:jc w:val="left"/>
              <w:rPr>
                <w:sz w:val="4"/>
                <w:szCs w:val="4"/>
              </w:rPr>
            </w:pPr>
            <w:r>
              <w:rPr>
                <w:sz w:val="4"/>
                <w:szCs w:val="4"/>
              </w:rPr>
            </w:r>
          </w:p>
        </w:tc>
        <w:tc>
          <w:tcPr>
            <w:tcW w:w="1855" w:type="dxa"/>
            <w:tcBorders/>
            <w:vAlign w:val="bottom"/>
          </w:tcPr>
          <w:p>
            <w:pPr>
              <w:pStyle w:val="TableContents"/>
              <w:bidi w:val="0"/>
              <w:spacing w:before="0" w:after="283"/>
              <w:jc w:val="left"/>
              <w:rPr>
                <w:sz w:val="4"/>
                <w:szCs w:val="4"/>
              </w:rPr>
            </w:pPr>
            <w:r>
              <w:rPr>
                <w:sz w:val="4"/>
                <w:szCs w:val="4"/>
              </w:rPr>
            </w:r>
          </w:p>
        </w:tc>
        <w:tc>
          <w:tcPr>
            <w:tcW w:w="3126" w:type="dxa"/>
            <w:tcBorders/>
            <w:vAlign w:val="center"/>
          </w:tcPr>
          <w:p>
            <w:pPr>
              <w:pStyle w:val="TableContents"/>
              <w:bidi w:val="0"/>
              <w:spacing w:before="0" w:after="283"/>
              <w:jc w:val="left"/>
              <w:rPr>
                <w:sz w:val="4"/>
                <w:szCs w:val="4"/>
              </w:rPr>
            </w:pPr>
            <w:r>
              <w:rPr>
                <w:sz w:val="4"/>
                <w:szCs w:val="4"/>
              </w:rPr>
            </w:r>
          </w:p>
        </w:tc>
      </w:tr>
      <w:tr>
        <w:trPr/>
        <w:tc>
          <w:tcPr>
            <w:tcW w:w="440" w:type="dxa"/>
            <w:tcBorders>
              <w:top w:val="single" w:sz="2" w:space="0" w:color="000000"/>
              <w:bottom w:val="single" w:sz="8" w:space="0" w:color="000000"/>
            </w:tcBorders>
            <w:tcMar>
              <w:top w:w="28" w:type="dxa"/>
              <w:bottom w:w="28" w:type="dxa"/>
            </w:tcMar>
            <w:vAlign w:val="bottom"/>
          </w:tcPr>
          <w:p>
            <w:pPr>
              <w:pStyle w:val="TableContents"/>
              <w:bidi w:val="0"/>
              <w:spacing w:before="0" w:after="283"/>
              <w:jc w:val="left"/>
              <w:rPr>
                <w:b/>
                <w:sz w:val="20"/>
              </w:rPr>
            </w:pPr>
            <w:r>
              <w:rPr>
                <w:b/>
                <w:sz w:val="20"/>
              </w:rPr>
              <w:t>Sign</w:t>
              <w:br/>
              <w:t>Here</w:t>
            </w:r>
          </w:p>
        </w:tc>
        <w:tc>
          <w:tcPr>
            <w:tcW w:w="96" w:type="dxa"/>
            <w:tcBorders>
              <w:top w:val="single" w:sz="2" w:space="0" w:color="000000"/>
              <w:left w:val="single" w:sz="2" w:space="0" w:color="000000"/>
              <w:bottom w:val="single" w:sz="8" w:space="0" w:color="000000"/>
            </w:tcBorders>
            <w:tcMar>
              <w:top w:w="28" w:type="dxa"/>
              <w:left w:w="28" w:type="dxa"/>
              <w:bottom w:w="28" w:type="dxa"/>
            </w:tcMar>
            <w:vAlign w:val="bottom"/>
          </w:tcPr>
          <w:p>
            <w:pPr>
              <w:pStyle w:val="TableContents"/>
              <w:bidi w:val="0"/>
              <w:spacing w:before="0" w:after="283"/>
              <w:jc w:val="left"/>
              <w:rPr/>
            </w:pPr>
            <w:r>
              <w:rPr/>
              <w:t> </w:t>
            </w:r>
          </w:p>
        </w:tc>
        <w:tc>
          <w:tcPr>
            <w:tcW w:w="4688" w:type="dxa"/>
            <w:tcBorders>
              <w:top w:val="single" w:sz="2" w:space="0" w:color="000000"/>
              <w:bottom w:val="single" w:sz="8" w:space="0" w:color="000000"/>
            </w:tcBorders>
            <w:tcMar>
              <w:top w:w="28" w:type="dxa"/>
              <w:bottom w:w="28" w:type="dxa"/>
            </w:tcMar>
            <w:vAlign w:val="bottom"/>
          </w:tcPr>
          <w:p>
            <w:pPr>
              <w:pStyle w:val="TableContents"/>
              <w:bidi w:val="0"/>
              <w:spacing w:before="0" w:after="283"/>
              <w:jc w:val="left"/>
              <w:rPr/>
            </w:pPr>
            <w:r>
              <w:rPr/>
              <w:t> </w:t>
            </w:r>
            <w:r>
              <w:rPr>
                <w:b/>
              </w:rPr>
              <w:t>Signature of</w:t>
              <w:br/>
              <w:t> U.S. person </w:t>
            </w:r>
          </w:p>
        </w:tc>
        <w:tc>
          <w:tcPr>
            <w:tcW w:w="1855" w:type="dxa"/>
            <w:tcBorders>
              <w:top w:val="single" w:sz="2" w:space="0" w:color="000000"/>
              <w:bottom w:val="single" w:sz="8" w:space="0" w:color="000000"/>
            </w:tcBorders>
            <w:tcMar>
              <w:top w:w="28" w:type="dxa"/>
              <w:bottom w:w="28" w:type="dxa"/>
            </w:tcMar>
            <w:vAlign w:val="bottom"/>
          </w:tcPr>
          <w:p>
            <w:pPr>
              <w:pStyle w:val="TableContents"/>
              <w:bidi w:val="0"/>
              <w:spacing w:before="0" w:after="283"/>
              <w:jc w:val="left"/>
              <w:rPr/>
            </w:pPr>
            <w:r>
              <w:rPr/>
              <w:t>    </w:t>
            </w:r>
          </w:p>
        </w:tc>
        <w:tc>
          <w:tcPr>
            <w:tcW w:w="3126" w:type="dxa"/>
            <w:tcBorders>
              <w:top w:val="single" w:sz="2" w:space="0" w:color="000000"/>
              <w:bottom w:val="single" w:sz="8" w:space="0" w:color="000000"/>
            </w:tcBorders>
            <w:tcMar>
              <w:top w:w="28" w:type="dxa"/>
              <w:bottom w:w="28" w:type="dxa"/>
            </w:tcMar>
            <w:vAlign w:val="bottom"/>
          </w:tcPr>
          <w:p>
            <w:pPr>
              <w:pStyle w:val="TableContents"/>
              <w:bidi w:val="0"/>
              <w:spacing w:before="0" w:after="283"/>
              <w:jc w:val="left"/>
              <w:rPr>
                <w:b/>
              </w:rPr>
            </w:pPr>
            <w:r>
              <w:rPr>
                <w:b/>
              </w:rPr>
              <w:t>Date </w:t>
            </w:r>
          </w:p>
        </w:tc>
      </w:tr>
    </w:tbl>
    <w:p>
      <w:pPr>
        <w:pStyle w:val="TextBody"/>
        <w:bidi w:val="0"/>
        <w:jc w:val="left"/>
        <w:rPr/>
      </w:pPr>
      <w:r>
        <w:rPr/>
        <w:t>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3110230" cy="1207770"/>
                <wp:effectExtent l="0" t="0" r="0" b="0"/>
                <wp:wrapSquare wrapText="right"/>
                <wp:docPr id="5" name="Frame1"/>
                <a:graphic xmlns:a="http://schemas.openxmlformats.org/drawingml/2006/main">
                  <a:graphicData uri="http://schemas.microsoft.com/office/word/2010/wordprocessingShape">
                    <wps:wsp>
                      <wps:cNvSpPr txBox="1"/>
                      <wps:spPr>
                        <a:xfrm>
                          <a:off x="0" y="0"/>
                          <a:ext cx="3110230" cy="1207770"/>
                        </a:xfrm>
                        <a:prstGeom prst="rect"/>
                        <a:solidFill>
                          <a:srgbClr val="FFFFFF"/>
                        </a:solidFill>
                      </wps:spPr>
                      <wps:txbx>
                        <w:txbxContent>
                          <w:p>
                            <w:pPr>
                              <w:pStyle w:val="TextBody"/>
                              <w:bidi w:val="0"/>
                              <w:spacing w:before="0" w:after="0"/>
                              <w:jc w:val="left"/>
                              <w:rPr>
                                <w:rFonts w:ascii="Times New Roman" w:hAnsi="Times New Roman"/>
                                <w:b/>
                                <w:sz w:val="28"/>
                              </w:rPr>
                            </w:pPr>
                            <w:r>
                              <w:rPr>
                                <w:rFonts w:ascii="Times New Roman" w:hAnsi="Times New Roman"/>
                                <w:b/>
                                <w:sz w:val="28"/>
                              </w:rPr>
                              <w:t xml:space="preserve">General Instructions </w:t>
                            </w:r>
                          </w:p>
                          <w:p>
                            <w:pPr>
                              <w:pStyle w:val="TextBody"/>
                              <w:bidi w:val="0"/>
                              <w:spacing w:before="40" w:after="0"/>
                              <w:jc w:val="left"/>
                              <w:rPr>
                                <w:rFonts w:ascii="Times New Roman" w:hAnsi="Times New Roman"/>
                                <w:sz w:val="16"/>
                              </w:rPr>
                            </w:pPr>
                            <w:r>
                              <w:rPr>
                                <w:rFonts w:ascii="Times New Roman" w:hAnsi="Times New Roman"/>
                                <w:sz w:val="16"/>
                              </w:rPr>
                              <w:t xml:space="preserve">Section references are to the Internal Revenue Code unless otherwise noted. </w:t>
                            </w:r>
                          </w:p>
                          <w:p>
                            <w:pPr>
                              <w:pStyle w:val="TextBody"/>
                              <w:bidi w:val="0"/>
                              <w:spacing w:before="40" w:after="0"/>
                              <w:jc w:val="left"/>
                              <w:rPr>
                                <w:rFonts w:ascii="Times New Roman" w:hAnsi="Times New Roman"/>
                                <w:sz w:val="16"/>
                              </w:rPr>
                            </w:pPr>
                            <w:r>
                              <w:rPr>
                                <w:rFonts w:ascii="Times New Roman" w:hAnsi="Times New Roman"/>
                                <w:b/>
                                <w:sz w:val="16"/>
                              </w:rPr>
                              <w:t>Future developments</w:t>
                            </w:r>
                            <w:r>
                              <w:rPr>
                                <w:rFonts w:ascii="Times New Roman" w:hAnsi="Times New Roman"/>
                                <w:sz w:val="16"/>
                              </w:rPr>
                              <w:t xml:space="preserve">. For the latest information about developments related to Form W-9 and its instructions, such as legislation enacted after they were published, go to </w:t>
                            </w:r>
                            <w:r>
                              <w:rPr>
                                <w:rFonts w:ascii="Times New Roman" w:hAnsi="Times New Roman"/>
                                <w:i/>
                                <w:sz w:val="16"/>
                              </w:rPr>
                              <w:t>www.irs.gov/FormW9</w:t>
                            </w:r>
                            <w:r>
                              <w:rPr>
                                <w:rFonts w:ascii="Times New Roman" w:hAnsi="Times New Roman"/>
                                <w:sz w:val="16"/>
                              </w:rPr>
                              <w:t xml:space="preserve">. </w:t>
                            </w:r>
                          </w:p>
                          <w:p>
                            <w:pPr>
                              <w:pStyle w:val="TextBody"/>
                              <w:bidi w:val="0"/>
                              <w:spacing w:before="80" w:after="0"/>
                              <w:jc w:val="left"/>
                              <w:rPr>
                                <w:rFonts w:ascii="Times New Roman" w:hAnsi="Times New Roman"/>
                                <w:b/>
                                <w:sz w:val="24"/>
                              </w:rPr>
                            </w:pPr>
                            <w:r>
                              <w:rPr>
                                <w:rFonts w:ascii="Times New Roman" w:hAnsi="Times New Roman"/>
                                <w:b/>
                                <w:sz w:val="24"/>
                              </w:rPr>
                              <w:t xml:space="preserve">What’s New </w:t>
                            </w:r>
                          </w:p>
                          <w:p>
                            <w:pPr>
                              <w:pStyle w:val="TextBody"/>
                              <w:bidi w:val="0"/>
                              <w:spacing w:before="40" w:after="0"/>
                              <w:jc w:val="left"/>
                              <w:rPr>
                                <w:rFonts w:ascii="Times New Roman" w:hAnsi="Times New Roman"/>
                                <w:sz w:val="16"/>
                              </w:rPr>
                            </w:pPr>
                            <w:r>
                              <w:rPr>
                                <w:rFonts w:ascii="Times New Roman" w:hAnsi="Times New Roman"/>
                                <w:sz w:val="16"/>
                              </w:rPr>
                              <w:t xml:space="preserve">Line 3a has been modified to clarify how a disregarded entity completes this line. An LLC that is a disregarded entity should check the appropriate box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95.1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Times New Roman" w:hAnsi="Times New Roman"/>
                          <w:b/>
                          <w:sz w:val="28"/>
                        </w:rPr>
                      </w:pPr>
                      <w:r>
                        <w:rPr>
                          <w:rFonts w:ascii="Times New Roman" w:hAnsi="Times New Roman"/>
                          <w:b/>
                          <w:sz w:val="28"/>
                        </w:rPr>
                        <w:t xml:space="preserve">General Instructions </w:t>
                      </w:r>
                    </w:p>
                    <w:p>
                      <w:pPr>
                        <w:pStyle w:val="TextBody"/>
                        <w:bidi w:val="0"/>
                        <w:spacing w:before="40" w:after="0"/>
                        <w:jc w:val="left"/>
                        <w:rPr>
                          <w:rFonts w:ascii="Times New Roman" w:hAnsi="Times New Roman"/>
                          <w:sz w:val="16"/>
                        </w:rPr>
                      </w:pPr>
                      <w:r>
                        <w:rPr>
                          <w:rFonts w:ascii="Times New Roman" w:hAnsi="Times New Roman"/>
                          <w:sz w:val="16"/>
                        </w:rPr>
                        <w:t xml:space="preserve">Section references are to the Internal Revenue Code unless otherwise noted. </w:t>
                      </w:r>
                    </w:p>
                    <w:p>
                      <w:pPr>
                        <w:pStyle w:val="TextBody"/>
                        <w:bidi w:val="0"/>
                        <w:spacing w:before="40" w:after="0"/>
                        <w:jc w:val="left"/>
                        <w:rPr>
                          <w:rFonts w:ascii="Times New Roman" w:hAnsi="Times New Roman"/>
                          <w:sz w:val="16"/>
                        </w:rPr>
                      </w:pPr>
                      <w:r>
                        <w:rPr>
                          <w:rFonts w:ascii="Times New Roman" w:hAnsi="Times New Roman"/>
                          <w:b/>
                          <w:sz w:val="16"/>
                        </w:rPr>
                        <w:t>Future developments</w:t>
                      </w:r>
                      <w:r>
                        <w:rPr>
                          <w:rFonts w:ascii="Times New Roman" w:hAnsi="Times New Roman"/>
                          <w:sz w:val="16"/>
                        </w:rPr>
                        <w:t xml:space="preserve">. For the latest information about developments related to Form W-9 and its instructions, such as legislation enacted after they were published, go to </w:t>
                      </w:r>
                      <w:r>
                        <w:rPr>
                          <w:rFonts w:ascii="Times New Roman" w:hAnsi="Times New Roman"/>
                          <w:i/>
                          <w:sz w:val="16"/>
                        </w:rPr>
                        <w:t>www.irs.gov/FormW9</w:t>
                      </w:r>
                      <w:r>
                        <w:rPr>
                          <w:rFonts w:ascii="Times New Roman" w:hAnsi="Times New Roman"/>
                          <w:sz w:val="16"/>
                        </w:rPr>
                        <w:t xml:space="preserve">. </w:t>
                      </w:r>
                    </w:p>
                    <w:p>
                      <w:pPr>
                        <w:pStyle w:val="TextBody"/>
                        <w:bidi w:val="0"/>
                        <w:spacing w:before="80" w:after="0"/>
                        <w:jc w:val="left"/>
                        <w:rPr>
                          <w:rFonts w:ascii="Times New Roman" w:hAnsi="Times New Roman"/>
                          <w:b/>
                          <w:sz w:val="24"/>
                        </w:rPr>
                      </w:pPr>
                      <w:r>
                        <w:rPr>
                          <w:rFonts w:ascii="Times New Roman" w:hAnsi="Times New Roman"/>
                          <w:b/>
                          <w:sz w:val="24"/>
                        </w:rPr>
                        <w:t xml:space="preserve">What’s New </w:t>
                      </w:r>
                    </w:p>
                    <w:p>
                      <w:pPr>
                        <w:pStyle w:val="TextBody"/>
                        <w:bidi w:val="0"/>
                        <w:spacing w:before="40" w:after="0"/>
                        <w:jc w:val="left"/>
                        <w:rPr>
                          <w:rFonts w:ascii="Times New Roman" w:hAnsi="Times New Roman"/>
                          <w:sz w:val="16"/>
                        </w:rPr>
                      </w:pPr>
                      <w:r>
                        <w:rPr>
                          <w:rFonts w:ascii="Times New Roman" w:hAnsi="Times New Roman"/>
                          <w:sz w:val="16"/>
                        </w:rPr>
                        <w:t xml:space="preserve">Line 3a has been modified to clarify how a disregarded entity completes this line. An LLC that is a disregarded entity should check the appropriate box </w:t>
                      </w:r>
                    </w:p>
                  </w:txbxContent>
                </v:textbox>
                <w10:wrap type="square" side="right"/>
              </v:rect>
            </w:pict>
          </mc:Fallback>
        </mc:AlternateConten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3175000" cy="1193800"/>
                <wp:effectExtent l="0" t="0" r="0" b="0"/>
                <wp:wrapSquare wrapText="right"/>
                <wp:docPr id="6" name="Frame2"/>
                <a:graphic xmlns:a="http://schemas.openxmlformats.org/drawingml/2006/main">
                  <a:graphicData uri="http://schemas.microsoft.com/office/word/2010/wordprocessingShape">
                    <wps:wsp>
                      <wps:cNvSpPr txBox="1"/>
                      <wps:spPr>
                        <a:xfrm>
                          <a:off x="0" y="0"/>
                          <a:ext cx="3175000" cy="1193800"/>
                        </a:xfrm>
                        <a:prstGeom prst="rect"/>
                        <a:solidFill>
                          <a:srgbClr val="FFFFFF"/>
                        </a:solidFill>
                      </wps:spPr>
                      <wps:txbx>
                        <w:txbxContent>
                          <w:p>
                            <w:pPr>
                              <w:pStyle w:val="TextBody"/>
                              <w:bidi w:val="0"/>
                              <w:spacing w:before="0" w:after="0"/>
                              <w:jc w:val="left"/>
                              <w:rPr>
                                <w:rFonts w:ascii="Times New Roman" w:hAnsi="Times New Roman"/>
                                <w:sz w:val="16"/>
                              </w:rPr>
                            </w:pPr>
                            <w:r>
                              <w:rPr>
                                <w:rFonts w:ascii="Times New Roman" w:hAnsi="Times New Roman"/>
                                <w:sz w:val="16"/>
                              </w:rPr>
                              <w:t xml:space="preserve">for the tax classification of its owner. Otherwise, it should check the “LLC” box and enter its appropriate tax classification. </w:t>
                            </w:r>
                          </w:p>
                          <w:p>
                            <w:pPr>
                              <w:pStyle w:val="TextBody"/>
                              <w:bidi w:val="0"/>
                              <w:spacing w:before="40" w:after="0"/>
                              <w:ind w:left="0" w:right="0" w:firstLine="160"/>
                              <w:jc w:val="left"/>
                              <w:rPr>
                                <w:rFonts w:ascii="Times New Roman" w:hAnsi="Times New Roman"/>
                                <w:sz w:val="16"/>
                              </w:rPr>
                            </w:pPr>
                            <w:r>
                              <w:rPr>
                                <w:rFonts w:ascii="Times New Roman" w:hAnsi="Times New Roman"/>
                                <w:sz w:val="16"/>
                              </w:rPr>
                              <w:t xml:space="preserve">New line 3b has been added to this form. A flow-through entity is required to complete this line to indicate that it has direct or indirect foreign partners, owners, or beneficiaries when it provides the Form W-9 to another flow-through entity in which it has an ownership interest. This change is intended to provide a flow-through entity with information regarding the status of its indirect foreign partners, owners, or beneficiaries, so that it can satisfy any applicable reporting requirements. For example, a partnership that has any indirect foreign partners may be required to complete Schedules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94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Times New Roman" w:hAnsi="Times New Roman"/>
                          <w:sz w:val="16"/>
                        </w:rPr>
                      </w:pPr>
                      <w:r>
                        <w:rPr>
                          <w:rFonts w:ascii="Times New Roman" w:hAnsi="Times New Roman"/>
                          <w:sz w:val="16"/>
                        </w:rPr>
                        <w:t xml:space="preserve">for the tax classification of its owner. Otherwise, it should check the “LLC” box and enter its appropriate tax classification. </w:t>
                      </w:r>
                    </w:p>
                    <w:p>
                      <w:pPr>
                        <w:pStyle w:val="TextBody"/>
                        <w:bidi w:val="0"/>
                        <w:spacing w:before="40" w:after="0"/>
                        <w:ind w:left="0" w:right="0" w:firstLine="160"/>
                        <w:jc w:val="left"/>
                        <w:rPr>
                          <w:rFonts w:ascii="Times New Roman" w:hAnsi="Times New Roman"/>
                          <w:sz w:val="16"/>
                        </w:rPr>
                      </w:pPr>
                      <w:r>
                        <w:rPr>
                          <w:rFonts w:ascii="Times New Roman" w:hAnsi="Times New Roman"/>
                          <w:sz w:val="16"/>
                        </w:rPr>
                        <w:t xml:space="preserve">New line 3b has been added to this form. A flow-through entity is required to complete this line to indicate that it has direct or indirect foreign partners, owners, or beneficiaries when it provides the Form W-9 to another flow-through entity in which it has an ownership interest. This change is intended to provide a flow-through entity with information regarding the status of its indirect foreign partners, owners, or beneficiaries, so that it can satisfy any applicable reporting requirements. For example, a partnership that has any indirect foreign partners may be required to complete Schedules </w:t>
                      </w:r>
                    </w:p>
                  </w:txbxContent>
                </v:textbox>
                <w10:wrap type="square" side="right"/>
              </v:rect>
            </w:pict>
          </mc:Fallback>
        </mc:AlternateConten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8"/>
        <w:gridCol w:w="101"/>
        <w:gridCol w:w="3369"/>
        <w:gridCol w:w="101"/>
        <w:gridCol w:w="3266"/>
      </w:tblGrid>
      <w:tr>
        <w:trPr/>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3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rHeight w:val="15" w:hRule="atLeast"/>
        </w:trPr>
        <w:tc>
          <w:tcPr>
            <w:tcW w:w="3368" w:type="dxa"/>
            <w:tcBorders>
              <w:top w:val="single" w:sz="8" w:space="0" w:color="000000"/>
            </w:tcBorders>
            <w:tcMar>
              <w:top w:w="28" w:type="dxa"/>
            </w:tcMar>
            <w:vAlign w:val="center"/>
          </w:tcPr>
          <w:p>
            <w:pPr>
              <w:pStyle w:val="TableContents"/>
              <w:bidi w:val="0"/>
              <w:spacing w:before="0" w:after="283"/>
              <w:jc w:val="left"/>
              <w:rPr/>
            </w:pPr>
            <w:r>
              <w:rPr/>
              <w:t> </w:t>
            </w:r>
          </w:p>
        </w:tc>
        <w:tc>
          <w:tcPr>
            <w:tcW w:w="3470" w:type="dxa"/>
            <w:gridSpan w:val="2"/>
            <w:tcBorders>
              <w:top w:val="single" w:sz="8" w:space="0" w:color="000000"/>
            </w:tcBorders>
            <w:tcMar>
              <w:top w:w="28" w:type="dxa"/>
            </w:tcMar>
            <w:vAlign w:val="center"/>
          </w:tcPr>
          <w:p>
            <w:pPr>
              <w:pStyle w:val="TableContents"/>
              <w:bidi w:val="0"/>
              <w:spacing w:before="0" w:after="283"/>
              <w:jc w:val="left"/>
              <w:rPr/>
            </w:pPr>
            <w:r>
              <w:rPr/>
              <w:t> </w:t>
            </w:r>
          </w:p>
        </w:tc>
        <w:tc>
          <w:tcPr>
            <w:tcW w:w="3367" w:type="dxa"/>
            <w:gridSpan w:val="2"/>
            <w:tcBorders>
              <w:top w:val="single" w:sz="8" w:space="0" w:color="000000"/>
            </w:tcBorders>
            <w:tcMar>
              <w:top w:w="28" w:type="dxa"/>
            </w:tcMar>
            <w:vAlign w:val="center"/>
          </w:tcPr>
          <w:p>
            <w:pPr>
              <w:pStyle w:val="TableContents"/>
              <w:bidi w:val="0"/>
              <w:spacing w:before="0" w:after="283"/>
              <w:jc w:val="left"/>
              <w:rPr/>
            </w:pPr>
            <w:r>
              <w:rPr/>
              <w:t> </w:t>
            </w:r>
          </w:p>
        </w:tc>
      </w:tr>
      <w:tr>
        <w:trPr/>
        <w:tc>
          <w:tcPr>
            <w:tcW w:w="336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369" w:type="dxa"/>
            <w:tcBorders/>
          </w:tcPr>
          <w:p>
            <w:pPr>
              <w:pStyle w:val="TableContents"/>
              <w:bidi w:val="0"/>
              <w:spacing w:before="0" w:after="283"/>
              <w:jc w:val="center"/>
              <w:rPr/>
            </w:pPr>
            <w:r>
              <w:rPr/>
              <w:t>Cat. No. 10231X</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right"/>
              <w:rPr>
                <w:rFonts w:ascii="Times New Roman" w:hAnsi="Times New Roman"/>
                <w:sz w:val="14"/>
              </w:rPr>
            </w:pPr>
            <w:r>
              <w:rPr>
                <w:rFonts w:ascii="Times New Roman" w:hAnsi="Times New Roman"/>
                <w:sz w:val="14"/>
              </w:rPr>
              <w:t xml:space="preserve">Form </w:t>
            </w:r>
            <w:r>
              <w:rPr>
                <w:rFonts w:ascii="Times New Roman" w:hAnsi="Times New Roman"/>
                <w:b/>
                <w:sz w:val="20"/>
              </w:rPr>
              <w:t>W-9</w:t>
            </w:r>
            <w:r>
              <w:rPr>
                <w:rFonts w:ascii="Times New Roman" w:hAnsi="Times New Roman"/>
                <w:b/>
                <w:sz w:val="14"/>
              </w:rPr>
              <w:t xml:space="preserve"> </w:t>
            </w:r>
            <w:r>
              <w:rPr>
                <w:rFonts w:ascii="Times New Roman" w:hAnsi="Times New Roman"/>
                <w:sz w:val="14"/>
              </w:rPr>
              <w:t>(Rev. 3-2024)</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9779"/>
        <w:gridCol w:w="426"/>
      </w:tblGrid>
      <w:tr>
        <w:trPr/>
        <w:tc>
          <w:tcPr>
            <w:tcW w:w="9779" w:type="dxa"/>
            <w:tcBorders/>
          </w:tcPr>
          <w:p>
            <w:pPr>
              <w:pStyle w:val="TableContents"/>
              <w:bidi w:val="0"/>
              <w:spacing w:before="0" w:after="20"/>
              <w:jc w:val="left"/>
              <w:rPr>
                <w:rFonts w:ascii="Times New Roman" w:hAnsi="Times New Roman"/>
                <w:sz w:val="14"/>
              </w:rPr>
            </w:pPr>
            <w:r>
              <w:rPr>
                <w:rFonts w:ascii="Times New Roman" w:hAnsi="Times New Roman"/>
                <w:sz w:val="14"/>
              </w:rPr>
              <w:t xml:space="preserve">Form W-9 (Rev. 3-2024) </w:t>
            </w:r>
          </w:p>
        </w:tc>
        <w:tc>
          <w:tcPr>
            <w:tcW w:w="426" w:type="dxa"/>
            <w:tcBorders/>
          </w:tcPr>
          <w:p>
            <w:pPr>
              <w:pStyle w:val="TableContents"/>
              <w:bidi w:val="0"/>
              <w:spacing w:before="0" w:after="20"/>
              <w:jc w:val="right"/>
              <w:rPr>
                <w:rFonts w:ascii="Times New Roman" w:hAnsi="Times New Roman"/>
                <w:sz w:val="14"/>
              </w:rPr>
            </w:pPr>
            <w:r>
              <w:rPr>
                <w:rFonts w:ascii="Times New Roman" w:hAnsi="Times New Roman"/>
                <w:sz w:val="14"/>
              </w:rPr>
              <w:t>Page </w:t>
            </w:r>
            <w:r>
              <w:rPr>
                <w:rFonts w:ascii="Times New Roman" w:hAnsi="Times New Roman"/>
                <w:b/>
                <w:sz w:val="20"/>
              </w:rPr>
              <w:t>2</w:t>
            </w:r>
            <w:r>
              <w:rPr>
                <w:rFonts w:ascii="Times New Roman" w:hAnsi="Times New Roman"/>
                <w:sz w:val="14"/>
              </w:rPr>
              <w:t xml:space="preserve"> </w:t>
            </w:r>
          </w:p>
        </w:tc>
      </w:tr>
    </w:tbl>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jc w:val="left"/>
        <w:rPr/>
      </w:pPr>
      <w:r>
        <w:rPr/>
        <w:t> </w:t>
      </w:r>
      <w:r>
        <w:br w:type="page"/>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3110230" cy="8790940"/>
                <wp:effectExtent l="0" t="0" r="0" b="0"/>
                <wp:wrapSquare wrapText="right"/>
                <wp:docPr id="7" name="Frame3"/>
                <a:graphic xmlns:a="http://schemas.openxmlformats.org/drawingml/2006/main">
                  <a:graphicData uri="http://schemas.microsoft.com/office/word/2010/wordprocessingShape">
                    <wps:wsp>
                      <wps:cNvSpPr txBox="1"/>
                      <wps:spPr>
                        <a:xfrm>
                          <a:off x="0" y="0"/>
                          <a:ext cx="3110230" cy="8790940"/>
                        </a:xfrm>
                        <a:prstGeom prst="rect"/>
                        <a:solidFill>
                          <a:srgbClr val="FFFFFF"/>
                        </a:solidFill>
                      </wps:spPr>
                      <wps:txbx>
                        <w:txbxContent>
                          <w:p>
                            <w:pPr>
                              <w:pStyle w:val="TextBody"/>
                              <w:bidi w:val="0"/>
                              <w:spacing w:before="0" w:after="0"/>
                              <w:jc w:val="left"/>
                              <w:rPr>
                                <w:rFonts w:ascii="Times New Roman" w:hAnsi="Times New Roman"/>
                                <w:sz w:val="16"/>
                              </w:rPr>
                            </w:pPr>
                            <w:r>
                              <w:rPr>
                                <w:rFonts w:ascii="Times New Roman" w:hAnsi="Times New Roman"/>
                                <w:sz w:val="16"/>
                              </w:rPr>
                              <w:t xml:space="preserve">K-2 and K-3. See the Partnership Instructions for Schedules K-2 and K-3 (Form 1065). </w:t>
                            </w:r>
                          </w:p>
                          <w:p>
                            <w:pPr>
                              <w:pStyle w:val="TextBody"/>
                              <w:bidi w:val="0"/>
                              <w:spacing w:before="80" w:after="0"/>
                              <w:jc w:val="left"/>
                              <w:rPr>
                                <w:rFonts w:ascii="Times New Roman" w:hAnsi="Times New Roman"/>
                                <w:b/>
                                <w:sz w:val="24"/>
                              </w:rPr>
                            </w:pPr>
                            <w:r>
                              <w:rPr>
                                <w:rFonts w:ascii="Times New Roman" w:hAnsi="Times New Roman"/>
                                <w:b/>
                                <w:sz w:val="24"/>
                              </w:rPr>
                              <w:t xml:space="preserve">Purpose of Form </w:t>
                            </w:r>
                          </w:p>
                          <w:p>
                            <w:pPr>
                              <w:pStyle w:val="TextBody"/>
                              <w:bidi w:val="0"/>
                              <w:spacing w:before="40" w:after="0"/>
                              <w:jc w:val="left"/>
                              <w:rPr>
                                <w:rFonts w:ascii="Times New Roman" w:hAnsi="Times New Roman"/>
                                <w:sz w:val="16"/>
                              </w:rPr>
                            </w:pPr>
                            <w:r>
                              <w:rPr>
                                <w:rFonts w:ascii="Times New Roman" w:hAnsi="Times New Roman"/>
                                <w:sz w:val="16"/>
                              </w:rPr>
                              <w:t xml:space="preserve">An individual or entity (Form W-9 requester) who is required to file an information return with the IRS is giving you this form because they must obtain your correct taxpayer identification number (TIN), which may be your social security number (SSN), individual taxpayer identification number (ITIN), adoption taxpayer identification number (ATIN), or employer identification number (EIN), to report on an information return the amount paid to you, or other amount reportable on an information return. Examples of information returns include, but are not limited to, the following. </w:t>
                            </w:r>
                          </w:p>
                          <w:p>
                            <w:pPr>
                              <w:pStyle w:val="TextBody"/>
                              <w:bidi w:val="0"/>
                              <w:spacing w:before="40" w:after="0"/>
                              <w:jc w:val="left"/>
                              <w:rPr>
                                <w:rFonts w:ascii="Times New Roman" w:hAnsi="Times New Roman"/>
                                <w:sz w:val="16"/>
                              </w:rPr>
                            </w:pPr>
                            <w:r>
                              <w:rPr>
                                <w:rFonts w:ascii="Times New Roman" w:hAnsi="Times New Roman"/>
                                <w:sz w:val="16"/>
                              </w:rPr>
                              <w:t xml:space="preserve"> Form 1099-INT (interest earned or paid). </w:t>
                            </w:r>
                          </w:p>
                          <w:p>
                            <w:pPr>
                              <w:pStyle w:val="TextBody"/>
                              <w:bidi w:val="0"/>
                              <w:spacing w:before="40" w:after="0"/>
                              <w:jc w:val="left"/>
                              <w:rPr>
                                <w:rFonts w:ascii="Times New Roman" w:hAnsi="Times New Roman"/>
                                <w:sz w:val="16"/>
                              </w:rPr>
                            </w:pPr>
                            <w:r>
                              <w:rPr>
                                <w:rFonts w:ascii="Times New Roman" w:hAnsi="Times New Roman"/>
                                <w:sz w:val="16"/>
                              </w:rPr>
                              <w:t xml:space="preserve"> Form 1099-DIV (dividends, including those from stocks or mutual funds). </w:t>
                            </w:r>
                          </w:p>
                          <w:p>
                            <w:pPr>
                              <w:pStyle w:val="TextBody"/>
                              <w:bidi w:val="0"/>
                              <w:spacing w:before="40" w:after="0"/>
                              <w:jc w:val="left"/>
                              <w:rPr>
                                <w:rFonts w:ascii="Times New Roman" w:hAnsi="Times New Roman"/>
                                <w:sz w:val="16"/>
                              </w:rPr>
                            </w:pPr>
                            <w:r>
                              <w:rPr>
                                <w:rFonts w:ascii="Times New Roman" w:hAnsi="Times New Roman"/>
                                <w:sz w:val="16"/>
                              </w:rPr>
                              <w:t xml:space="preserve"> Form 1099-MISC (various types of income, prizes, awards, or gross proceeds). </w:t>
                            </w:r>
                          </w:p>
                          <w:p>
                            <w:pPr>
                              <w:pStyle w:val="TextBody"/>
                              <w:bidi w:val="0"/>
                              <w:spacing w:before="40" w:after="0"/>
                              <w:jc w:val="left"/>
                              <w:rPr>
                                <w:rFonts w:ascii="Times New Roman" w:hAnsi="Times New Roman"/>
                                <w:sz w:val="16"/>
                              </w:rPr>
                            </w:pPr>
                            <w:r>
                              <w:rPr>
                                <w:rFonts w:ascii="Times New Roman" w:hAnsi="Times New Roman"/>
                                <w:sz w:val="16"/>
                              </w:rPr>
                              <w:t xml:space="preserve"> Form 1099-NEC (nonemployee compensation). </w:t>
                            </w:r>
                          </w:p>
                          <w:p>
                            <w:pPr>
                              <w:pStyle w:val="TextBody"/>
                              <w:bidi w:val="0"/>
                              <w:spacing w:before="40" w:after="0"/>
                              <w:jc w:val="left"/>
                              <w:rPr>
                                <w:rFonts w:ascii="Times New Roman" w:hAnsi="Times New Roman"/>
                                <w:sz w:val="16"/>
                              </w:rPr>
                            </w:pPr>
                            <w:r>
                              <w:rPr>
                                <w:rFonts w:ascii="Times New Roman" w:hAnsi="Times New Roman"/>
                                <w:sz w:val="16"/>
                              </w:rPr>
                              <w:t xml:space="preserve"> Form 1099-B (stock or mutual fund sales and certain other transactions by brokers). </w:t>
                            </w:r>
                          </w:p>
                          <w:p>
                            <w:pPr>
                              <w:pStyle w:val="TextBody"/>
                              <w:bidi w:val="0"/>
                              <w:spacing w:before="40" w:after="0"/>
                              <w:jc w:val="left"/>
                              <w:rPr>
                                <w:rFonts w:ascii="Times New Roman" w:hAnsi="Times New Roman"/>
                                <w:sz w:val="16"/>
                              </w:rPr>
                            </w:pPr>
                            <w:r>
                              <w:rPr>
                                <w:rFonts w:ascii="Times New Roman" w:hAnsi="Times New Roman"/>
                                <w:sz w:val="16"/>
                              </w:rPr>
                              <w:t xml:space="preserve"> Form 1099-S (proceeds from real estate transactions). </w:t>
                            </w:r>
                          </w:p>
                          <w:p>
                            <w:pPr>
                              <w:pStyle w:val="TextBody"/>
                              <w:bidi w:val="0"/>
                              <w:spacing w:before="40" w:after="0"/>
                              <w:jc w:val="left"/>
                              <w:rPr>
                                <w:rFonts w:ascii="Times New Roman" w:hAnsi="Times New Roman"/>
                                <w:sz w:val="16"/>
                              </w:rPr>
                            </w:pPr>
                            <w:r>
                              <w:rPr>
                                <w:rFonts w:ascii="Times New Roman" w:hAnsi="Times New Roman"/>
                                <w:sz w:val="16"/>
                              </w:rPr>
                              <w:t xml:space="preserve"> Form 1099-K (merchant card and third-party network transactions). </w:t>
                            </w:r>
                          </w:p>
                          <w:p>
                            <w:pPr>
                              <w:pStyle w:val="TextBody"/>
                              <w:bidi w:val="0"/>
                              <w:spacing w:before="40" w:after="0"/>
                              <w:jc w:val="left"/>
                              <w:rPr>
                                <w:rFonts w:ascii="Times New Roman" w:hAnsi="Times New Roman"/>
                                <w:sz w:val="16"/>
                              </w:rPr>
                            </w:pPr>
                            <w:r>
                              <w:rPr>
                                <w:rFonts w:ascii="Times New Roman" w:hAnsi="Times New Roman"/>
                                <w:sz w:val="16"/>
                              </w:rPr>
                              <w:t xml:space="preserve"> Form 1098 (home mortgage interest), 1098-E (student loan interest), and 1098-T (tuition). </w:t>
                            </w:r>
                          </w:p>
                          <w:p>
                            <w:pPr>
                              <w:pStyle w:val="TextBody"/>
                              <w:bidi w:val="0"/>
                              <w:spacing w:before="40" w:after="0"/>
                              <w:jc w:val="left"/>
                              <w:rPr>
                                <w:rFonts w:ascii="Times New Roman" w:hAnsi="Times New Roman"/>
                                <w:sz w:val="16"/>
                              </w:rPr>
                            </w:pPr>
                            <w:r>
                              <w:rPr>
                                <w:rFonts w:ascii="Times New Roman" w:hAnsi="Times New Roman"/>
                                <w:sz w:val="16"/>
                              </w:rPr>
                              <w:t xml:space="preserve"> Form 1099-C (canceled debt). </w:t>
                            </w:r>
                          </w:p>
                          <w:p>
                            <w:pPr>
                              <w:pStyle w:val="TextBody"/>
                              <w:bidi w:val="0"/>
                              <w:spacing w:before="40" w:after="0"/>
                              <w:jc w:val="left"/>
                              <w:rPr>
                                <w:rFonts w:ascii="Times New Roman" w:hAnsi="Times New Roman"/>
                                <w:sz w:val="16"/>
                              </w:rPr>
                            </w:pPr>
                            <w:r>
                              <w:rPr>
                                <w:rFonts w:ascii="Times New Roman" w:hAnsi="Times New Roman"/>
                                <w:sz w:val="16"/>
                              </w:rPr>
                              <w:t xml:space="preserve"> Form 1099-A (acquisition or abandonment of secured property). </w:t>
                            </w:r>
                          </w:p>
                          <w:p>
                            <w:pPr>
                              <w:pStyle w:val="TextBody"/>
                              <w:bidi w:val="0"/>
                              <w:spacing w:before="40" w:after="0"/>
                              <w:jc w:val="left"/>
                              <w:rPr>
                                <w:rFonts w:ascii="Times New Roman" w:hAnsi="Times New Roman"/>
                                <w:sz w:val="16"/>
                              </w:rPr>
                            </w:pPr>
                            <w:r>
                              <w:rPr>
                                <w:rFonts w:ascii="Times New Roman" w:hAnsi="Times New Roman"/>
                                <w:sz w:val="16"/>
                              </w:rPr>
                              <w:t xml:space="preserve">Use Form W-9 only if you are a U.S. person (including a resident alien), to provide your correct TIN. </w:t>
                            </w:r>
                          </w:p>
                          <w:p>
                            <w:pPr>
                              <w:pStyle w:val="TextBody"/>
                              <w:bidi w:val="0"/>
                              <w:spacing w:before="40" w:after="0"/>
                              <w:jc w:val="left"/>
                              <w:rPr>
                                <w:rFonts w:ascii="Times New Roman" w:hAnsi="Times New Roman"/>
                                <w:sz w:val="16"/>
                              </w:rPr>
                            </w:pPr>
                            <w:r>
                              <w:rPr>
                                <w:rFonts w:ascii="Times New Roman" w:hAnsi="Times New Roman"/>
                                <w:b/>
                                <w:sz w:val="16"/>
                              </w:rPr>
                              <w:t>Caution:</w:t>
                            </w:r>
                            <w:r>
                              <w:rPr>
                                <w:rFonts w:ascii="Times New Roman" w:hAnsi="Times New Roman"/>
                                <w:sz w:val="16"/>
                              </w:rPr>
                              <w:t xml:space="preserve"> If you don’t return Form W-9 to the requester with a TIN, you might be subject to backup withholding. See </w:t>
                            </w:r>
                            <w:r>
                              <w:rPr>
                                <w:rFonts w:ascii="Times New Roman" w:hAnsi="Times New Roman"/>
                                <w:i/>
                                <w:sz w:val="16"/>
                              </w:rPr>
                              <w:t>What is backup withholding</w:t>
                            </w:r>
                            <w:r>
                              <w:rPr>
                                <w:rFonts w:ascii="Times New Roman" w:hAnsi="Times New Roman"/>
                                <w:sz w:val="16"/>
                              </w:rPr>
                              <w:t xml:space="preserve">, later. </w:t>
                            </w:r>
                          </w:p>
                          <w:p>
                            <w:pPr>
                              <w:pStyle w:val="TextBody"/>
                              <w:bidi w:val="0"/>
                              <w:spacing w:before="40" w:after="0"/>
                              <w:jc w:val="left"/>
                              <w:rPr>
                                <w:rFonts w:ascii="Times New Roman" w:hAnsi="Times New Roman"/>
                                <w:sz w:val="16"/>
                              </w:rPr>
                            </w:pPr>
                            <w:r>
                              <w:rPr>
                                <w:rFonts w:ascii="Times New Roman" w:hAnsi="Times New Roman"/>
                                <w:b/>
                                <w:sz w:val="16"/>
                              </w:rPr>
                              <w:t>By signing the filled-out form</w:t>
                            </w:r>
                            <w:r>
                              <w:rPr>
                                <w:rFonts w:ascii="Times New Roman" w:hAnsi="Times New Roman"/>
                                <w:sz w:val="16"/>
                              </w:rPr>
                              <w:t xml:space="preserve">, you: </w:t>
                            </w:r>
                          </w:p>
                          <w:p>
                            <w:pPr>
                              <w:pStyle w:val="TextBody"/>
                              <w:bidi w:val="0"/>
                              <w:spacing w:before="40" w:after="0"/>
                              <w:jc w:val="left"/>
                              <w:rPr>
                                <w:rFonts w:ascii="Times New Roman" w:hAnsi="Times New Roman"/>
                                <w:sz w:val="16"/>
                              </w:rPr>
                            </w:pPr>
                            <w:r>
                              <w:rPr>
                                <w:rFonts w:ascii="Times New Roman" w:hAnsi="Times New Roman"/>
                                <w:sz w:val="16"/>
                              </w:rPr>
                              <w:t xml:space="preserve">1. Certify that the TIN you are giving is correct (or you are waiting for a number to be issued); </w:t>
                            </w:r>
                          </w:p>
                          <w:p>
                            <w:pPr>
                              <w:pStyle w:val="TextBody"/>
                              <w:bidi w:val="0"/>
                              <w:spacing w:before="40" w:after="0"/>
                              <w:jc w:val="left"/>
                              <w:rPr>
                                <w:rFonts w:ascii="Times New Roman" w:hAnsi="Times New Roman"/>
                                <w:sz w:val="16"/>
                              </w:rPr>
                            </w:pPr>
                            <w:r>
                              <w:rPr>
                                <w:rFonts w:ascii="Times New Roman" w:hAnsi="Times New Roman"/>
                                <w:sz w:val="16"/>
                              </w:rPr>
                              <w:t xml:space="preserve">2. Certify that you are not subject to backup withholding; or </w:t>
                            </w:r>
                          </w:p>
                          <w:p>
                            <w:pPr>
                              <w:pStyle w:val="TextBody"/>
                              <w:bidi w:val="0"/>
                              <w:spacing w:before="40" w:after="0"/>
                              <w:jc w:val="left"/>
                              <w:rPr>
                                <w:rFonts w:ascii="Times New Roman" w:hAnsi="Times New Roman"/>
                                <w:sz w:val="16"/>
                              </w:rPr>
                            </w:pPr>
                            <w:r>
                              <w:rPr>
                                <w:rFonts w:ascii="Times New Roman" w:hAnsi="Times New Roman"/>
                                <w:sz w:val="16"/>
                              </w:rPr>
                              <w:t xml:space="preserve">3. Claim exemption from backup withholding if you are a U.S. exempt payee; and </w:t>
                            </w:r>
                          </w:p>
                          <w:p>
                            <w:pPr>
                              <w:pStyle w:val="TextBody"/>
                              <w:bidi w:val="0"/>
                              <w:spacing w:before="40" w:after="0"/>
                              <w:jc w:val="left"/>
                              <w:rPr>
                                <w:rFonts w:ascii="Times New Roman" w:hAnsi="Times New Roman"/>
                                <w:sz w:val="16"/>
                              </w:rPr>
                            </w:pPr>
                            <w:r>
                              <w:rPr>
                                <w:rFonts w:ascii="Times New Roman" w:hAnsi="Times New Roman"/>
                                <w:sz w:val="16"/>
                              </w:rPr>
                              <w:t xml:space="preserve">4. Certify to your non-foreign status for purposes of withholding under chapter 3 or 4 of the Code (if applicable); and </w:t>
                            </w:r>
                          </w:p>
                          <w:p>
                            <w:pPr>
                              <w:pStyle w:val="TextBody"/>
                              <w:bidi w:val="0"/>
                              <w:spacing w:before="40" w:after="0"/>
                              <w:jc w:val="left"/>
                              <w:rPr>
                                <w:rFonts w:ascii="Times New Roman" w:hAnsi="Times New Roman"/>
                                <w:sz w:val="16"/>
                              </w:rPr>
                            </w:pPr>
                            <w:r>
                              <w:rPr>
                                <w:rFonts w:ascii="Times New Roman" w:hAnsi="Times New Roman"/>
                                <w:sz w:val="16"/>
                              </w:rPr>
                              <w:t xml:space="preserve">5. Certify that FATCA code(s) entered on this form (if any) indicating that you are exempt from the FATCA reporting is correct. See </w:t>
                            </w:r>
                            <w:r>
                              <w:rPr>
                                <w:rFonts w:ascii="Times New Roman" w:hAnsi="Times New Roman"/>
                                <w:i/>
                                <w:sz w:val="16"/>
                              </w:rPr>
                              <w:t>What Is FATCA Reporting</w:t>
                            </w:r>
                            <w:r>
                              <w:rPr>
                                <w:rFonts w:ascii="Times New Roman" w:hAnsi="Times New Roman"/>
                                <w:sz w:val="16"/>
                              </w:rPr>
                              <w:t xml:space="preserve">, later, for further information. </w:t>
                            </w:r>
                          </w:p>
                          <w:p>
                            <w:pPr>
                              <w:pStyle w:val="TextBody"/>
                              <w:bidi w:val="0"/>
                              <w:spacing w:before="40" w:after="0"/>
                              <w:jc w:val="left"/>
                              <w:rPr>
                                <w:rFonts w:ascii="Times New Roman" w:hAnsi="Times New Roman"/>
                                <w:sz w:val="16"/>
                              </w:rPr>
                            </w:pPr>
                            <w:r>
                              <w:rPr>
                                <w:rFonts w:ascii="Times New Roman" w:hAnsi="Times New Roman"/>
                                <w:b/>
                                <w:sz w:val="16"/>
                              </w:rPr>
                              <w:t>Note:</w:t>
                            </w:r>
                            <w:r>
                              <w:rPr>
                                <w:rFonts w:ascii="Times New Roman" w:hAnsi="Times New Roman"/>
                                <w:sz w:val="16"/>
                              </w:rPr>
                              <w:t xml:space="preserve"> If you are a U.S. person and a requester gives you a form other than Form W-9 to request your TIN, you must use the requester’s form if it is substantially similar to this Form W-9.</w:t>
                            </w:r>
                          </w:p>
                          <w:p>
                            <w:pPr>
                              <w:pStyle w:val="TextBody"/>
                              <w:bidi w:val="0"/>
                              <w:spacing w:before="40" w:after="0"/>
                              <w:jc w:val="left"/>
                              <w:rPr>
                                <w:rFonts w:ascii="Times New Roman" w:hAnsi="Times New Roman"/>
                                <w:sz w:val="16"/>
                              </w:rPr>
                            </w:pPr>
                            <w:r>
                              <w:rPr>
                                <w:rFonts w:ascii="Times New Roman" w:hAnsi="Times New Roman"/>
                                <w:b/>
                                <w:sz w:val="16"/>
                              </w:rPr>
                              <w:t>Definition of a U.S. person.</w:t>
                            </w:r>
                            <w:r>
                              <w:rPr>
                                <w:rFonts w:ascii="Times New Roman" w:hAnsi="Times New Roman"/>
                                <w:sz w:val="16"/>
                              </w:rPr>
                              <w:t xml:space="preserve"> For federal tax purposes, you are considered a U.S. person if you are: </w:t>
                            </w:r>
                          </w:p>
                          <w:p>
                            <w:pPr>
                              <w:pStyle w:val="TextBody"/>
                              <w:bidi w:val="0"/>
                              <w:spacing w:before="40" w:after="0"/>
                              <w:jc w:val="left"/>
                              <w:rPr>
                                <w:rFonts w:ascii="Times New Roman" w:hAnsi="Times New Roman"/>
                                <w:sz w:val="16"/>
                              </w:rPr>
                            </w:pPr>
                            <w:r>
                              <w:rPr>
                                <w:rFonts w:ascii="Times New Roman" w:hAnsi="Times New Roman"/>
                                <w:sz w:val="16"/>
                              </w:rPr>
                              <w:t xml:space="preserve"> An individual who is a U.S. citizen or U.S. resident alien; </w:t>
                            </w:r>
                          </w:p>
                          <w:p>
                            <w:pPr>
                              <w:pStyle w:val="TextBody"/>
                              <w:bidi w:val="0"/>
                              <w:spacing w:before="40" w:after="0"/>
                              <w:jc w:val="left"/>
                              <w:rPr>
                                <w:rFonts w:ascii="Times New Roman" w:hAnsi="Times New Roman"/>
                                <w:sz w:val="16"/>
                              </w:rPr>
                            </w:pPr>
                            <w:r>
                              <w:rPr>
                                <w:rFonts w:ascii="Times New Roman" w:hAnsi="Times New Roman"/>
                                <w:sz w:val="16"/>
                              </w:rPr>
                              <w:t xml:space="preserve"> A partnership, corporation, company, or association created or organized in the United States or under the laws of the United States; </w:t>
                            </w:r>
                          </w:p>
                          <w:p>
                            <w:pPr>
                              <w:pStyle w:val="TextBody"/>
                              <w:bidi w:val="0"/>
                              <w:spacing w:before="40" w:after="0"/>
                              <w:jc w:val="left"/>
                              <w:rPr>
                                <w:rFonts w:ascii="Times New Roman" w:hAnsi="Times New Roman"/>
                                <w:sz w:val="16"/>
                              </w:rPr>
                            </w:pPr>
                            <w:r>
                              <w:rPr>
                                <w:rFonts w:ascii="Times New Roman" w:hAnsi="Times New Roman"/>
                                <w:sz w:val="16"/>
                              </w:rPr>
                              <w:t xml:space="preserve"> An estate (other than a foreign estate); or </w:t>
                            </w:r>
                          </w:p>
                          <w:p>
                            <w:pPr>
                              <w:pStyle w:val="TextBody"/>
                              <w:bidi w:val="0"/>
                              <w:spacing w:before="40" w:after="0"/>
                              <w:jc w:val="left"/>
                              <w:rPr>
                                <w:rFonts w:ascii="Times New Roman" w:hAnsi="Times New Roman"/>
                                <w:sz w:val="16"/>
                              </w:rPr>
                            </w:pPr>
                            <w:r>
                              <w:rPr>
                                <w:rFonts w:ascii="Times New Roman" w:hAnsi="Times New Roman"/>
                                <w:sz w:val="16"/>
                              </w:rPr>
                              <w:t> A domestic trust (as defined in Regulations section 301.7701-7).</w:t>
                            </w:r>
                          </w:p>
                          <w:p>
                            <w:pPr>
                              <w:pStyle w:val="TextBody"/>
                              <w:bidi w:val="0"/>
                              <w:spacing w:before="40" w:after="0"/>
                              <w:jc w:val="left"/>
                              <w:rPr>
                                <w:rFonts w:ascii="Times New Roman" w:hAnsi="Times New Roman"/>
                                <w:sz w:val="16"/>
                              </w:rPr>
                            </w:pPr>
                            <w:r>
                              <w:rPr>
                                <w:rFonts w:ascii="Times New Roman" w:hAnsi="Times New Roman"/>
                                <w:b/>
                                <w:sz w:val="16"/>
                              </w:rPr>
                              <w:t>Establishing U.S. status for purposes of chapter 3 and chapter 4 withholding.</w:t>
                            </w:r>
                            <w:r>
                              <w:rPr>
                                <w:rFonts w:ascii="Times New Roman" w:hAnsi="Times New Roman"/>
                                <w:sz w:val="16"/>
                              </w:rPr>
                              <w:t xml:space="preserve"> Payments made to foreign persons, including certain distributions, allocations of income, or transfers of sales proceeds, may be subject to withholding under chapter 3 or chapter 4 of the Code (sections 1441-1474). Under those rules, if a Form W-9 or other certification of non-foreign status has not been received, a withholding agent, transferee, or partnership (payor) generally applies presumption rules that may require the payor to withhold applicable tax from the recipient, owner, transferor, or partner (payee). See Pub. 515, Withholding of Tax on Nonresident Aliens and Foreign Entities. </w:t>
                            </w:r>
                          </w:p>
                          <w:p>
                            <w:pPr>
                              <w:pStyle w:val="TextBody"/>
                              <w:bidi w:val="0"/>
                              <w:spacing w:before="40" w:after="0"/>
                              <w:jc w:val="left"/>
                              <w:rPr>
                                <w:rFonts w:ascii="Times New Roman" w:hAnsi="Times New Roman"/>
                                <w:sz w:val="16"/>
                              </w:rPr>
                            </w:pPr>
                            <w:r>
                              <w:rPr>
                                <w:rFonts w:ascii="Times New Roman" w:hAnsi="Times New Roman"/>
                                <w:sz w:val="16"/>
                              </w:rPr>
                              <w:t xml:space="preserve">The following persons must provide Form W-9 to the payor for purposes of establishing its non-foreign status. </w:t>
                            </w:r>
                          </w:p>
                          <w:p>
                            <w:pPr>
                              <w:pStyle w:val="TextBody"/>
                              <w:bidi w:val="0"/>
                              <w:spacing w:before="40" w:after="0"/>
                              <w:jc w:val="left"/>
                              <w:rPr>
                                <w:rFonts w:ascii="Times New Roman" w:hAnsi="Times New Roman"/>
                                <w:sz w:val="16"/>
                              </w:rPr>
                            </w:pPr>
                            <w:r>
                              <w:rPr>
                                <w:rFonts w:ascii="Times New Roman" w:hAnsi="Times New Roman"/>
                                <w:sz w:val="16"/>
                              </w:rPr>
                              <w:t xml:space="preserve"> In the case of a disregarded entity with a U.S. owner, the U.S. owner of the disregarded entity and not the disregarded entity. </w:t>
                            </w:r>
                          </w:p>
                          <w:p>
                            <w:pPr>
                              <w:pStyle w:val="TextBody"/>
                              <w:bidi w:val="0"/>
                              <w:spacing w:before="40" w:after="0"/>
                              <w:jc w:val="left"/>
                              <w:rPr>
                                <w:rFonts w:ascii="Times New Roman" w:hAnsi="Times New Roman"/>
                                <w:sz w:val="16"/>
                              </w:rPr>
                            </w:pPr>
                            <w:r>
                              <w:rPr>
                                <w:rFonts w:ascii="Times New Roman" w:hAnsi="Times New Roman"/>
                                <w:sz w:val="16"/>
                              </w:rPr>
                              <w:t xml:space="preserve"> In the case of a grantor trust with a U.S. grantor or other U.S. owner, generally, the U.S. grantor or other U.S. owner of the grantor trust and not the grantor trust.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92.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Times New Roman" w:hAnsi="Times New Roman"/>
                          <w:sz w:val="16"/>
                        </w:rPr>
                      </w:pPr>
                      <w:r>
                        <w:rPr>
                          <w:rFonts w:ascii="Times New Roman" w:hAnsi="Times New Roman"/>
                          <w:sz w:val="16"/>
                        </w:rPr>
                        <w:t xml:space="preserve">K-2 and K-3. See the Partnership Instructions for Schedules K-2 and K-3 (Form 1065). </w:t>
                      </w:r>
                    </w:p>
                    <w:p>
                      <w:pPr>
                        <w:pStyle w:val="TextBody"/>
                        <w:bidi w:val="0"/>
                        <w:spacing w:before="80" w:after="0"/>
                        <w:jc w:val="left"/>
                        <w:rPr>
                          <w:rFonts w:ascii="Times New Roman" w:hAnsi="Times New Roman"/>
                          <w:b/>
                          <w:sz w:val="24"/>
                        </w:rPr>
                      </w:pPr>
                      <w:r>
                        <w:rPr>
                          <w:rFonts w:ascii="Times New Roman" w:hAnsi="Times New Roman"/>
                          <w:b/>
                          <w:sz w:val="24"/>
                        </w:rPr>
                        <w:t xml:space="preserve">Purpose of Form </w:t>
                      </w:r>
                    </w:p>
                    <w:p>
                      <w:pPr>
                        <w:pStyle w:val="TextBody"/>
                        <w:bidi w:val="0"/>
                        <w:spacing w:before="40" w:after="0"/>
                        <w:jc w:val="left"/>
                        <w:rPr>
                          <w:rFonts w:ascii="Times New Roman" w:hAnsi="Times New Roman"/>
                          <w:sz w:val="16"/>
                        </w:rPr>
                      </w:pPr>
                      <w:r>
                        <w:rPr>
                          <w:rFonts w:ascii="Times New Roman" w:hAnsi="Times New Roman"/>
                          <w:sz w:val="16"/>
                        </w:rPr>
                        <w:t xml:space="preserve">An individual or entity (Form W-9 requester) who is required to file an information return with the IRS is giving you this form because they must obtain your correct taxpayer identification number (TIN), which may be your social security number (SSN), individual taxpayer identification number (ITIN), adoption taxpayer identification number (ATIN), or employer identification number (EIN), to report on an information return the amount paid to you, or other amount reportable on an information return. Examples of information returns include, but are not limited to, the following. </w:t>
                      </w:r>
                    </w:p>
                    <w:p>
                      <w:pPr>
                        <w:pStyle w:val="TextBody"/>
                        <w:bidi w:val="0"/>
                        <w:spacing w:before="40" w:after="0"/>
                        <w:jc w:val="left"/>
                        <w:rPr>
                          <w:rFonts w:ascii="Times New Roman" w:hAnsi="Times New Roman"/>
                          <w:sz w:val="16"/>
                        </w:rPr>
                      </w:pPr>
                      <w:r>
                        <w:rPr>
                          <w:rFonts w:ascii="Times New Roman" w:hAnsi="Times New Roman"/>
                          <w:sz w:val="16"/>
                        </w:rPr>
                        <w:t xml:space="preserve"> Form 1099-INT (interest earned or paid). </w:t>
                      </w:r>
                    </w:p>
                    <w:p>
                      <w:pPr>
                        <w:pStyle w:val="TextBody"/>
                        <w:bidi w:val="0"/>
                        <w:spacing w:before="40" w:after="0"/>
                        <w:jc w:val="left"/>
                        <w:rPr>
                          <w:rFonts w:ascii="Times New Roman" w:hAnsi="Times New Roman"/>
                          <w:sz w:val="16"/>
                        </w:rPr>
                      </w:pPr>
                      <w:r>
                        <w:rPr>
                          <w:rFonts w:ascii="Times New Roman" w:hAnsi="Times New Roman"/>
                          <w:sz w:val="16"/>
                        </w:rPr>
                        <w:t xml:space="preserve"> Form 1099-DIV (dividends, including those from stocks or mutual funds). </w:t>
                      </w:r>
                    </w:p>
                    <w:p>
                      <w:pPr>
                        <w:pStyle w:val="TextBody"/>
                        <w:bidi w:val="0"/>
                        <w:spacing w:before="40" w:after="0"/>
                        <w:jc w:val="left"/>
                        <w:rPr>
                          <w:rFonts w:ascii="Times New Roman" w:hAnsi="Times New Roman"/>
                          <w:sz w:val="16"/>
                        </w:rPr>
                      </w:pPr>
                      <w:r>
                        <w:rPr>
                          <w:rFonts w:ascii="Times New Roman" w:hAnsi="Times New Roman"/>
                          <w:sz w:val="16"/>
                        </w:rPr>
                        <w:t xml:space="preserve"> Form 1099-MISC (various types of income, prizes, awards, or gross proceeds). </w:t>
                      </w:r>
                    </w:p>
                    <w:p>
                      <w:pPr>
                        <w:pStyle w:val="TextBody"/>
                        <w:bidi w:val="0"/>
                        <w:spacing w:before="40" w:after="0"/>
                        <w:jc w:val="left"/>
                        <w:rPr>
                          <w:rFonts w:ascii="Times New Roman" w:hAnsi="Times New Roman"/>
                          <w:sz w:val="16"/>
                        </w:rPr>
                      </w:pPr>
                      <w:r>
                        <w:rPr>
                          <w:rFonts w:ascii="Times New Roman" w:hAnsi="Times New Roman"/>
                          <w:sz w:val="16"/>
                        </w:rPr>
                        <w:t xml:space="preserve"> Form 1099-NEC (nonemployee compensation). </w:t>
                      </w:r>
                    </w:p>
                    <w:p>
                      <w:pPr>
                        <w:pStyle w:val="TextBody"/>
                        <w:bidi w:val="0"/>
                        <w:spacing w:before="40" w:after="0"/>
                        <w:jc w:val="left"/>
                        <w:rPr>
                          <w:rFonts w:ascii="Times New Roman" w:hAnsi="Times New Roman"/>
                          <w:sz w:val="16"/>
                        </w:rPr>
                      </w:pPr>
                      <w:r>
                        <w:rPr>
                          <w:rFonts w:ascii="Times New Roman" w:hAnsi="Times New Roman"/>
                          <w:sz w:val="16"/>
                        </w:rPr>
                        <w:t xml:space="preserve"> Form 1099-B (stock or mutual fund sales and certain other transactions by brokers). </w:t>
                      </w:r>
                    </w:p>
                    <w:p>
                      <w:pPr>
                        <w:pStyle w:val="TextBody"/>
                        <w:bidi w:val="0"/>
                        <w:spacing w:before="40" w:after="0"/>
                        <w:jc w:val="left"/>
                        <w:rPr>
                          <w:rFonts w:ascii="Times New Roman" w:hAnsi="Times New Roman"/>
                          <w:sz w:val="16"/>
                        </w:rPr>
                      </w:pPr>
                      <w:r>
                        <w:rPr>
                          <w:rFonts w:ascii="Times New Roman" w:hAnsi="Times New Roman"/>
                          <w:sz w:val="16"/>
                        </w:rPr>
                        <w:t xml:space="preserve"> Form 1099-S (proceeds from real estate transactions). </w:t>
                      </w:r>
                    </w:p>
                    <w:p>
                      <w:pPr>
                        <w:pStyle w:val="TextBody"/>
                        <w:bidi w:val="0"/>
                        <w:spacing w:before="40" w:after="0"/>
                        <w:jc w:val="left"/>
                        <w:rPr>
                          <w:rFonts w:ascii="Times New Roman" w:hAnsi="Times New Roman"/>
                          <w:sz w:val="16"/>
                        </w:rPr>
                      </w:pPr>
                      <w:r>
                        <w:rPr>
                          <w:rFonts w:ascii="Times New Roman" w:hAnsi="Times New Roman"/>
                          <w:sz w:val="16"/>
                        </w:rPr>
                        <w:t xml:space="preserve"> Form 1099-K (merchant card and third-party network transactions). </w:t>
                      </w:r>
                    </w:p>
                    <w:p>
                      <w:pPr>
                        <w:pStyle w:val="TextBody"/>
                        <w:bidi w:val="0"/>
                        <w:spacing w:before="40" w:after="0"/>
                        <w:jc w:val="left"/>
                        <w:rPr>
                          <w:rFonts w:ascii="Times New Roman" w:hAnsi="Times New Roman"/>
                          <w:sz w:val="16"/>
                        </w:rPr>
                      </w:pPr>
                      <w:r>
                        <w:rPr>
                          <w:rFonts w:ascii="Times New Roman" w:hAnsi="Times New Roman"/>
                          <w:sz w:val="16"/>
                        </w:rPr>
                        <w:t xml:space="preserve"> Form 1098 (home mortgage interest), 1098-E (student loan interest), and 1098-T (tuition). </w:t>
                      </w:r>
                    </w:p>
                    <w:p>
                      <w:pPr>
                        <w:pStyle w:val="TextBody"/>
                        <w:bidi w:val="0"/>
                        <w:spacing w:before="40" w:after="0"/>
                        <w:jc w:val="left"/>
                        <w:rPr>
                          <w:rFonts w:ascii="Times New Roman" w:hAnsi="Times New Roman"/>
                          <w:sz w:val="16"/>
                        </w:rPr>
                      </w:pPr>
                      <w:r>
                        <w:rPr>
                          <w:rFonts w:ascii="Times New Roman" w:hAnsi="Times New Roman"/>
                          <w:sz w:val="16"/>
                        </w:rPr>
                        <w:t xml:space="preserve"> Form 1099-C (canceled debt). </w:t>
                      </w:r>
                    </w:p>
                    <w:p>
                      <w:pPr>
                        <w:pStyle w:val="TextBody"/>
                        <w:bidi w:val="0"/>
                        <w:spacing w:before="40" w:after="0"/>
                        <w:jc w:val="left"/>
                        <w:rPr>
                          <w:rFonts w:ascii="Times New Roman" w:hAnsi="Times New Roman"/>
                          <w:sz w:val="16"/>
                        </w:rPr>
                      </w:pPr>
                      <w:r>
                        <w:rPr>
                          <w:rFonts w:ascii="Times New Roman" w:hAnsi="Times New Roman"/>
                          <w:sz w:val="16"/>
                        </w:rPr>
                        <w:t xml:space="preserve"> Form 1099-A (acquisition or abandonment of secured property). </w:t>
                      </w:r>
                    </w:p>
                    <w:p>
                      <w:pPr>
                        <w:pStyle w:val="TextBody"/>
                        <w:bidi w:val="0"/>
                        <w:spacing w:before="40" w:after="0"/>
                        <w:jc w:val="left"/>
                        <w:rPr>
                          <w:rFonts w:ascii="Times New Roman" w:hAnsi="Times New Roman"/>
                          <w:sz w:val="16"/>
                        </w:rPr>
                      </w:pPr>
                      <w:r>
                        <w:rPr>
                          <w:rFonts w:ascii="Times New Roman" w:hAnsi="Times New Roman"/>
                          <w:sz w:val="16"/>
                        </w:rPr>
                        <w:t xml:space="preserve">Use Form W-9 only if you are a U.S. person (including a resident alien), to provide your correct TIN. </w:t>
                      </w:r>
                    </w:p>
                    <w:p>
                      <w:pPr>
                        <w:pStyle w:val="TextBody"/>
                        <w:bidi w:val="0"/>
                        <w:spacing w:before="40" w:after="0"/>
                        <w:jc w:val="left"/>
                        <w:rPr>
                          <w:rFonts w:ascii="Times New Roman" w:hAnsi="Times New Roman"/>
                          <w:sz w:val="16"/>
                        </w:rPr>
                      </w:pPr>
                      <w:r>
                        <w:rPr>
                          <w:rFonts w:ascii="Times New Roman" w:hAnsi="Times New Roman"/>
                          <w:b/>
                          <w:sz w:val="16"/>
                        </w:rPr>
                        <w:t>Caution:</w:t>
                      </w:r>
                      <w:r>
                        <w:rPr>
                          <w:rFonts w:ascii="Times New Roman" w:hAnsi="Times New Roman"/>
                          <w:sz w:val="16"/>
                        </w:rPr>
                        <w:t xml:space="preserve"> If you don’t return Form W-9 to the requester with a TIN, you might be subject to backup withholding. See </w:t>
                      </w:r>
                      <w:r>
                        <w:rPr>
                          <w:rFonts w:ascii="Times New Roman" w:hAnsi="Times New Roman"/>
                          <w:i/>
                          <w:sz w:val="16"/>
                        </w:rPr>
                        <w:t>What is backup withholding</w:t>
                      </w:r>
                      <w:r>
                        <w:rPr>
                          <w:rFonts w:ascii="Times New Roman" w:hAnsi="Times New Roman"/>
                          <w:sz w:val="16"/>
                        </w:rPr>
                        <w:t xml:space="preserve">, later. </w:t>
                      </w:r>
                    </w:p>
                    <w:p>
                      <w:pPr>
                        <w:pStyle w:val="TextBody"/>
                        <w:bidi w:val="0"/>
                        <w:spacing w:before="40" w:after="0"/>
                        <w:jc w:val="left"/>
                        <w:rPr>
                          <w:rFonts w:ascii="Times New Roman" w:hAnsi="Times New Roman"/>
                          <w:sz w:val="16"/>
                        </w:rPr>
                      </w:pPr>
                      <w:r>
                        <w:rPr>
                          <w:rFonts w:ascii="Times New Roman" w:hAnsi="Times New Roman"/>
                          <w:b/>
                          <w:sz w:val="16"/>
                        </w:rPr>
                        <w:t>By signing the filled-out form</w:t>
                      </w:r>
                      <w:r>
                        <w:rPr>
                          <w:rFonts w:ascii="Times New Roman" w:hAnsi="Times New Roman"/>
                          <w:sz w:val="16"/>
                        </w:rPr>
                        <w:t xml:space="preserve">, you: </w:t>
                      </w:r>
                    </w:p>
                    <w:p>
                      <w:pPr>
                        <w:pStyle w:val="TextBody"/>
                        <w:bidi w:val="0"/>
                        <w:spacing w:before="40" w:after="0"/>
                        <w:jc w:val="left"/>
                        <w:rPr>
                          <w:rFonts w:ascii="Times New Roman" w:hAnsi="Times New Roman"/>
                          <w:sz w:val="16"/>
                        </w:rPr>
                      </w:pPr>
                      <w:r>
                        <w:rPr>
                          <w:rFonts w:ascii="Times New Roman" w:hAnsi="Times New Roman"/>
                          <w:sz w:val="16"/>
                        </w:rPr>
                        <w:t xml:space="preserve">1. Certify that the TIN you are giving is correct (or you are waiting for a number to be issued); </w:t>
                      </w:r>
                    </w:p>
                    <w:p>
                      <w:pPr>
                        <w:pStyle w:val="TextBody"/>
                        <w:bidi w:val="0"/>
                        <w:spacing w:before="40" w:after="0"/>
                        <w:jc w:val="left"/>
                        <w:rPr>
                          <w:rFonts w:ascii="Times New Roman" w:hAnsi="Times New Roman"/>
                          <w:sz w:val="16"/>
                        </w:rPr>
                      </w:pPr>
                      <w:r>
                        <w:rPr>
                          <w:rFonts w:ascii="Times New Roman" w:hAnsi="Times New Roman"/>
                          <w:sz w:val="16"/>
                        </w:rPr>
                        <w:t xml:space="preserve">2. Certify that you are not subject to backup withholding; or </w:t>
                      </w:r>
                    </w:p>
                    <w:p>
                      <w:pPr>
                        <w:pStyle w:val="TextBody"/>
                        <w:bidi w:val="0"/>
                        <w:spacing w:before="40" w:after="0"/>
                        <w:jc w:val="left"/>
                        <w:rPr>
                          <w:rFonts w:ascii="Times New Roman" w:hAnsi="Times New Roman"/>
                          <w:sz w:val="16"/>
                        </w:rPr>
                      </w:pPr>
                      <w:r>
                        <w:rPr>
                          <w:rFonts w:ascii="Times New Roman" w:hAnsi="Times New Roman"/>
                          <w:sz w:val="16"/>
                        </w:rPr>
                        <w:t xml:space="preserve">3. Claim exemption from backup withholding if you are a U.S. exempt payee; and </w:t>
                      </w:r>
                    </w:p>
                    <w:p>
                      <w:pPr>
                        <w:pStyle w:val="TextBody"/>
                        <w:bidi w:val="0"/>
                        <w:spacing w:before="40" w:after="0"/>
                        <w:jc w:val="left"/>
                        <w:rPr>
                          <w:rFonts w:ascii="Times New Roman" w:hAnsi="Times New Roman"/>
                          <w:sz w:val="16"/>
                        </w:rPr>
                      </w:pPr>
                      <w:r>
                        <w:rPr>
                          <w:rFonts w:ascii="Times New Roman" w:hAnsi="Times New Roman"/>
                          <w:sz w:val="16"/>
                        </w:rPr>
                        <w:t xml:space="preserve">4. Certify to your non-foreign status for purposes of withholding under chapter 3 or 4 of the Code (if applicable); and </w:t>
                      </w:r>
                    </w:p>
                    <w:p>
                      <w:pPr>
                        <w:pStyle w:val="TextBody"/>
                        <w:bidi w:val="0"/>
                        <w:spacing w:before="40" w:after="0"/>
                        <w:jc w:val="left"/>
                        <w:rPr>
                          <w:rFonts w:ascii="Times New Roman" w:hAnsi="Times New Roman"/>
                          <w:sz w:val="16"/>
                        </w:rPr>
                      </w:pPr>
                      <w:r>
                        <w:rPr>
                          <w:rFonts w:ascii="Times New Roman" w:hAnsi="Times New Roman"/>
                          <w:sz w:val="16"/>
                        </w:rPr>
                        <w:t xml:space="preserve">5. Certify that FATCA code(s) entered on this form (if any) indicating that you are exempt from the FATCA reporting is correct. See </w:t>
                      </w:r>
                      <w:r>
                        <w:rPr>
                          <w:rFonts w:ascii="Times New Roman" w:hAnsi="Times New Roman"/>
                          <w:i/>
                          <w:sz w:val="16"/>
                        </w:rPr>
                        <w:t>What Is FATCA Reporting</w:t>
                      </w:r>
                      <w:r>
                        <w:rPr>
                          <w:rFonts w:ascii="Times New Roman" w:hAnsi="Times New Roman"/>
                          <w:sz w:val="16"/>
                        </w:rPr>
                        <w:t xml:space="preserve">, later, for further information. </w:t>
                      </w:r>
                    </w:p>
                    <w:p>
                      <w:pPr>
                        <w:pStyle w:val="TextBody"/>
                        <w:bidi w:val="0"/>
                        <w:spacing w:before="40" w:after="0"/>
                        <w:jc w:val="left"/>
                        <w:rPr>
                          <w:rFonts w:ascii="Times New Roman" w:hAnsi="Times New Roman"/>
                          <w:sz w:val="16"/>
                        </w:rPr>
                      </w:pPr>
                      <w:r>
                        <w:rPr>
                          <w:rFonts w:ascii="Times New Roman" w:hAnsi="Times New Roman"/>
                          <w:b/>
                          <w:sz w:val="16"/>
                        </w:rPr>
                        <w:t>Note:</w:t>
                      </w:r>
                      <w:r>
                        <w:rPr>
                          <w:rFonts w:ascii="Times New Roman" w:hAnsi="Times New Roman"/>
                          <w:sz w:val="16"/>
                        </w:rPr>
                        <w:t xml:space="preserve"> If you are a U.S. person and a requester gives you a form other than Form W-9 to request your TIN, you must use the requester’s form if it is substantially similar to this Form W-9.</w:t>
                      </w:r>
                    </w:p>
                    <w:p>
                      <w:pPr>
                        <w:pStyle w:val="TextBody"/>
                        <w:bidi w:val="0"/>
                        <w:spacing w:before="40" w:after="0"/>
                        <w:jc w:val="left"/>
                        <w:rPr>
                          <w:rFonts w:ascii="Times New Roman" w:hAnsi="Times New Roman"/>
                          <w:sz w:val="16"/>
                        </w:rPr>
                      </w:pPr>
                      <w:r>
                        <w:rPr>
                          <w:rFonts w:ascii="Times New Roman" w:hAnsi="Times New Roman"/>
                          <w:b/>
                          <w:sz w:val="16"/>
                        </w:rPr>
                        <w:t>Definition of a U.S. person.</w:t>
                      </w:r>
                      <w:r>
                        <w:rPr>
                          <w:rFonts w:ascii="Times New Roman" w:hAnsi="Times New Roman"/>
                          <w:sz w:val="16"/>
                        </w:rPr>
                        <w:t xml:space="preserve"> For federal tax purposes, you are considered a U.S. person if you are: </w:t>
                      </w:r>
                    </w:p>
                    <w:p>
                      <w:pPr>
                        <w:pStyle w:val="TextBody"/>
                        <w:bidi w:val="0"/>
                        <w:spacing w:before="40" w:after="0"/>
                        <w:jc w:val="left"/>
                        <w:rPr>
                          <w:rFonts w:ascii="Times New Roman" w:hAnsi="Times New Roman"/>
                          <w:sz w:val="16"/>
                        </w:rPr>
                      </w:pPr>
                      <w:r>
                        <w:rPr>
                          <w:rFonts w:ascii="Times New Roman" w:hAnsi="Times New Roman"/>
                          <w:sz w:val="16"/>
                        </w:rPr>
                        <w:t xml:space="preserve"> An individual who is a U.S. citizen or U.S. resident alien; </w:t>
                      </w:r>
                    </w:p>
                    <w:p>
                      <w:pPr>
                        <w:pStyle w:val="TextBody"/>
                        <w:bidi w:val="0"/>
                        <w:spacing w:before="40" w:after="0"/>
                        <w:jc w:val="left"/>
                        <w:rPr>
                          <w:rFonts w:ascii="Times New Roman" w:hAnsi="Times New Roman"/>
                          <w:sz w:val="16"/>
                        </w:rPr>
                      </w:pPr>
                      <w:r>
                        <w:rPr>
                          <w:rFonts w:ascii="Times New Roman" w:hAnsi="Times New Roman"/>
                          <w:sz w:val="16"/>
                        </w:rPr>
                        <w:t xml:space="preserve"> A partnership, corporation, company, or association created or organized in the United States or under the laws of the United States; </w:t>
                      </w:r>
                    </w:p>
                    <w:p>
                      <w:pPr>
                        <w:pStyle w:val="TextBody"/>
                        <w:bidi w:val="0"/>
                        <w:spacing w:before="40" w:after="0"/>
                        <w:jc w:val="left"/>
                        <w:rPr>
                          <w:rFonts w:ascii="Times New Roman" w:hAnsi="Times New Roman"/>
                          <w:sz w:val="16"/>
                        </w:rPr>
                      </w:pPr>
                      <w:r>
                        <w:rPr>
                          <w:rFonts w:ascii="Times New Roman" w:hAnsi="Times New Roman"/>
                          <w:sz w:val="16"/>
                        </w:rPr>
                        <w:t xml:space="preserve"> An estate (other than a foreign estate); or </w:t>
                      </w:r>
                    </w:p>
                    <w:p>
                      <w:pPr>
                        <w:pStyle w:val="TextBody"/>
                        <w:bidi w:val="0"/>
                        <w:spacing w:before="40" w:after="0"/>
                        <w:jc w:val="left"/>
                        <w:rPr>
                          <w:rFonts w:ascii="Times New Roman" w:hAnsi="Times New Roman"/>
                          <w:sz w:val="16"/>
                        </w:rPr>
                      </w:pPr>
                      <w:r>
                        <w:rPr>
                          <w:rFonts w:ascii="Times New Roman" w:hAnsi="Times New Roman"/>
                          <w:sz w:val="16"/>
                        </w:rPr>
                        <w:t> A domestic trust (as defined in Regulations section 301.7701-7).</w:t>
                      </w:r>
                    </w:p>
                    <w:p>
                      <w:pPr>
                        <w:pStyle w:val="TextBody"/>
                        <w:bidi w:val="0"/>
                        <w:spacing w:before="40" w:after="0"/>
                        <w:jc w:val="left"/>
                        <w:rPr>
                          <w:rFonts w:ascii="Times New Roman" w:hAnsi="Times New Roman"/>
                          <w:sz w:val="16"/>
                        </w:rPr>
                      </w:pPr>
                      <w:r>
                        <w:rPr>
                          <w:rFonts w:ascii="Times New Roman" w:hAnsi="Times New Roman"/>
                          <w:b/>
                          <w:sz w:val="16"/>
                        </w:rPr>
                        <w:t>Establishing U.S. status for purposes of chapter 3 and chapter 4 withholding.</w:t>
                      </w:r>
                      <w:r>
                        <w:rPr>
                          <w:rFonts w:ascii="Times New Roman" w:hAnsi="Times New Roman"/>
                          <w:sz w:val="16"/>
                        </w:rPr>
                        <w:t xml:space="preserve"> Payments made to foreign persons, including certain distributions, allocations of income, or transfers of sales proceeds, may be subject to withholding under chapter 3 or chapter 4 of the Code (sections 1441-1474). Under those rules, if a Form W-9 or other certification of non-foreign status has not been received, a withholding agent, transferee, or partnership (payor) generally applies presumption rules that may require the payor to withhold applicable tax from the recipient, owner, transferor, or partner (payee). See Pub. 515, Withholding of Tax on Nonresident Aliens and Foreign Entities. </w:t>
                      </w:r>
                    </w:p>
                    <w:p>
                      <w:pPr>
                        <w:pStyle w:val="TextBody"/>
                        <w:bidi w:val="0"/>
                        <w:spacing w:before="40" w:after="0"/>
                        <w:jc w:val="left"/>
                        <w:rPr>
                          <w:rFonts w:ascii="Times New Roman" w:hAnsi="Times New Roman"/>
                          <w:sz w:val="16"/>
                        </w:rPr>
                      </w:pPr>
                      <w:r>
                        <w:rPr>
                          <w:rFonts w:ascii="Times New Roman" w:hAnsi="Times New Roman"/>
                          <w:sz w:val="16"/>
                        </w:rPr>
                        <w:t xml:space="preserve">The following persons must provide Form W-9 to the payor for purposes of establishing its non-foreign status. </w:t>
                      </w:r>
                    </w:p>
                    <w:p>
                      <w:pPr>
                        <w:pStyle w:val="TextBody"/>
                        <w:bidi w:val="0"/>
                        <w:spacing w:before="40" w:after="0"/>
                        <w:jc w:val="left"/>
                        <w:rPr>
                          <w:rFonts w:ascii="Times New Roman" w:hAnsi="Times New Roman"/>
                          <w:sz w:val="16"/>
                        </w:rPr>
                      </w:pPr>
                      <w:r>
                        <w:rPr>
                          <w:rFonts w:ascii="Times New Roman" w:hAnsi="Times New Roman"/>
                          <w:sz w:val="16"/>
                        </w:rPr>
                        <w:t xml:space="preserve"> In the case of a disregarded entity with a U.S. owner, the U.S. owner of the disregarded entity and not the disregarded entity. </w:t>
                      </w:r>
                    </w:p>
                    <w:p>
                      <w:pPr>
                        <w:pStyle w:val="TextBody"/>
                        <w:bidi w:val="0"/>
                        <w:spacing w:before="40" w:after="0"/>
                        <w:jc w:val="left"/>
                        <w:rPr>
                          <w:rFonts w:ascii="Times New Roman" w:hAnsi="Times New Roman"/>
                          <w:sz w:val="16"/>
                        </w:rPr>
                      </w:pPr>
                      <w:r>
                        <w:rPr>
                          <w:rFonts w:ascii="Times New Roman" w:hAnsi="Times New Roman"/>
                          <w:sz w:val="16"/>
                        </w:rPr>
                        <w:t xml:space="preserve"> In the case of a grantor trust with a U.S. grantor or other U.S. owner, generally, the U.S. grantor or other U.S. owner of the grantor trust and not the grantor trust. </w:t>
                      </w:r>
                    </w:p>
                  </w:txbxContent>
                </v:textbox>
                <w10:wrap type="square" side="right"/>
              </v:rect>
            </w:pict>
          </mc:Fallback>
        </mc:AlternateConten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3175000" cy="7835900"/>
                <wp:effectExtent l="0" t="0" r="0" b="0"/>
                <wp:wrapSquare wrapText="right"/>
                <wp:docPr id="8" name="Frame4"/>
                <a:graphic xmlns:a="http://schemas.openxmlformats.org/drawingml/2006/main">
                  <a:graphicData uri="http://schemas.microsoft.com/office/word/2010/wordprocessingShape">
                    <wps:wsp>
                      <wps:cNvSpPr txBox="1"/>
                      <wps:spPr>
                        <a:xfrm>
                          <a:off x="0" y="0"/>
                          <a:ext cx="3175000" cy="7835900"/>
                        </a:xfrm>
                        <a:prstGeom prst="rect"/>
                        <a:solidFill>
                          <a:srgbClr val="FFFFFF"/>
                        </a:solidFill>
                      </wps:spPr>
                      <wps:txbx>
                        <w:txbxContent>
                          <w:p>
                            <w:pPr>
                              <w:pStyle w:val="TextBody"/>
                              <w:bidi w:val="0"/>
                              <w:spacing w:before="0" w:after="0"/>
                              <w:jc w:val="left"/>
                              <w:rPr>
                                <w:rFonts w:ascii="Times New Roman" w:hAnsi="Times New Roman"/>
                                <w:sz w:val="16"/>
                              </w:rPr>
                            </w:pPr>
                            <w:r>
                              <w:rPr>
                                <w:rFonts w:ascii="Times New Roman" w:hAnsi="Times New Roman"/>
                                <w:sz w:val="16"/>
                              </w:rPr>
                              <w:t xml:space="preserve"> In the case of a U.S. trust (other than a grantor trust), the U.S. trust and not the beneficiaries of the trust. </w:t>
                            </w:r>
                          </w:p>
                          <w:p>
                            <w:pPr>
                              <w:pStyle w:val="TextBody"/>
                              <w:bidi w:val="0"/>
                              <w:spacing w:before="40" w:after="0"/>
                              <w:jc w:val="left"/>
                              <w:rPr>
                                <w:rFonts w:ascii="Times New Roman" w:hAnsi="Times New Roman"/>
                                <w:sz w:val="16"/>
                              </w:rPr>
                            </w:pPr>
                            <w:r>
                              <w:rPr>
                                <w:rFonts w:ascii="Times New Roman" w:hAnsi="Times New Roman"/>
                                <w:sz w:val="16"/>
                              </w:rPr>
                              <w:t xml:space="preserve">See Pub. 515 for more information on providing a Form W-9 or a certification of non-foreign status to avoid withholding. </w:t>
                            </w:r>
                          </w:p>
                          <w:p>
                            <w:pPr>
                              <w:pStyle w:val="TextBody"/>
                              <w:bidi w:val="0"/>
                              <w:spacing w:before="40" w:after="0"/>
                              <w:jc w:val="left"/>
                              <w:rPr>
                                <w:rFonts w:ascii="Times New Roman" w:hAnsi="Times New Roman"/>
                                <w:sz w:val="16"/>
                              </w:rPr>
                            </w:pPr>
                            <w:r>
                              <w:rPr>
                                <w:rFonts w:ascii="Times New Roman" w:hAnsi="Times New Roman"/>
                                <w:b/>
                                <w:sz w:val="16"/>
                              </w:rPr>
                              <w:t>Foreign person.</w:t>
                            </w:r>
                            <w:r>
                              <w:rPr>
                                <w:rFonts w:ascii="Times New Roman" w:hAnsi="Times New Roman"/>
                                <w:sz w:val="16"/>
                              </w:rPr>
                              <w:t xml:space="preserve"> If you are a foreign person or the U.S. branch of a foreign bank that has elected to be treated as a U.S. person (under Regulations section 1.1441-1(b)(2)(iv) or other applicable section for chapter 3 or 4 purposes), do not use Form W-9. Instead, use the appropriate Form W-8 or Form 8233 (see Pub. 515). If you are a qualified foreign pension fund under Regulations section 1.897(l)-1(d), or a partnership that is wholly owned by qualified foreign pension funds, that is treated as a non-foreign person for purposes of section 1445 withholding, do not use Form W-9. Instead, use Form W-8EXP (or other certification of non-foreign status). </w:t>
                            </w:r>
                          </w:p>
                          <w:p>
                            <w:pPr>
                              <w:pStyle w:val="TextBody"/>
                              <w:bidi w:val="0"/>
                              <w:spacing w:before="40" w:after="0"/>
                              <w:jc w:val="left"/>
                              <w:rPr>
                                <w:rFonts w:ascii="Times New Roman" w:hAnsi="Times New Roman"/>
                                <w:sz w:val="16"/>
                              </w:rPr>
                            </w:pPr>
                            <w:r>
                              <w:rPr>
                                <w:rFonts w:ascii="Times New Roman" w:hAnsi="Times New Roman"/>
                                <w:b/>
                                <w:sz w:val="16"/>
                              </w:rPr>
                              <w:t>Nonresident alien who becomes a resident alien.</w:t>
                            </w:r>
                            <w:r>
                              <w:rPr>
                                <w:rFonts w:ascii="Times New Roman" w:hAnsi="Times New Roman"/>
                                <w:sz w:val="16"/>
                              </w:rPr>
                              <w:t xml:space="preserve"> Generally, only a nonresident alien individual may use the terms of a tax treaty to reduce or eliminate U.S. tax on certain types of income. However, most tax treaties contain a provision known as a saving clause. Exceptions specified in the saving clause may permit an exemption from tax to continue for certain types of income even after the payee has otherwise become a U.S. resident alien for tax purposes. </w:t>
                            </w:r>
                          </w:p>
                          <w:p>
                            <w:pPr>
                              <w:pStyle w:val="TextBody"/>
                              <w:bidi w:val="0"/>
                              <w:spacing w:before="40" w:after="0"/>
                              <w:jc w:val="left"/>
                              <w:rPr>
                                <w:rFonts w:ascii="Times New Roman" w:hAnsi="Times New Roman"/>
                                <w:sz w:val="16"/>
                              </w:rPr>
                            </w:pPr>
                            <w:r>
                              <w:rPr>
                                <w:rFonts w:ascii="Times New Roman" w:hAnsi="Times New Roman"/>
                                <w:sz w:val="16"/>
                              </w:rPr>
                              <w:t xml:space="preserve">If you are a U.S. resident alien who is relying on an exception contained in the saving clause of a tax treaty to claim an exemption from U.S. tax on certain types of income, you must attach a statement to Form W-9 that specifies the following five items. </w:t>
                            </w:r>
                          </w:p>
                          <w:p>
                            <w:pPr>
                              <w:pStyle w:val="TextBody"/>
                              <w:bidi w:val="0"/>
                              <w:spacing w:before="40" w:after="0"/>
                              <w:jc w:val="left"/>
                              <w:rPr>
                                <w:rFonts w:ascii="Times New Roman" w:hAnsi="Times New Roman"/>
                                <w:sz w:val="16"/>
                              </w:rPr>
                            </w:pPr>
                            <w:r>
                              <w:rPr>
                                <w:rFonts w:ascii="Times New Roman" w:hAnsi="Times New Roman"/>
                                <w:sz w:val="16"/>
                              </w:rPr>
                              <w:t xml:space="preserve">1. The treaty country. Generally, this must be the same treaty under which you claimed exemption from tax as a nonresident alien. </w:t>
                            </w:r>
                          </w:p>
                          <w:p>
                            <w:pPr>
                              <w:pStyle w:val="TextBody"/>
                              <w:bidi w:val="0"/>
                              <w:spacing w:before="40" w:after="0"/>
                              <w:jc w:val="left"/>
                              <w:rPr>
                                <w:rFonts w:ascii="Times New Roman" w:hAnsi="Times New Roman"/>
                                <w:sz w:val="16"/>
                              </w:rPr>
                            </w:pPr>
                            <w:r>
                              <w:rPr>
                                <w:rFonts w:ascii="Times New Roman" w:hAnsi="Times New Roman"/>
                                <w:sz w:val="16"/>
                              </w:rPr>
                              <w:t xml:space="preserve">2. The treaty article addressing the income. </w:t>
                            </w:r>
                          </w:p>
                          <w:p>
                            <w:pPr>
                              <w:pStyle w:val="TextBody"/>
                              <w:bidi w:val="0"/>
                              <w:spacing w:before="40" w:after="0"/>
                              <w:jc w:val="left"/>
                              <w:rPr>
                                <w:rFonts w:ascii="Times New Roman" w:hAnsi="Times New Roman"/>
                                <w:sz w:val="16"/>
                              </w:rPr>
                            </w:pPr>
                            <w:r>
                              <w:rPr>
                                <w:rFonts w:ascii="Times New Roman" w:hAnsi="Times New Roman"/>
                                <w:sz w:val="16"/>
                              </w:rPr>
                              <w:t xml:space="preserve">3. The article number (or location) in the tax treaty that contains the saving clause and its exceptions. </w:t>
                            </w:r>
                          </w:p>
                          <w:p>
                            <w:pPr>
                              <w:pStyle w:val="TextBody"/>
                              <w:bidi w:val="0"/>
                              <w:spacing w:before="40" w:after="0"/>
                              <w:jc w:val="left"/>
                              <w:rPr>
                                <w:rFonts w:ascii="Times New Roman" w:hAnsi="Times New Roman"/>
                                <w:sz w:val="16"/>
                              </w:rPr>
                            </w:pPr>
                            <w:r>
                              <w:rPr>
                                <w:rFonts w:ascii="Times New Roman" w:hAnsi="Times New Roman"/>
                                <w:sz w:val="16"/>
                              </w:rPr>
                              <w:t xml:space="preserve">4. The type and amount of income that qualifies for the exemption from tax. </w:t>
                            </w:r>
                          </w:p>
                          <w:p>
                            <w:pPr>
                              <w:pStyle w:val="TextBody"/>
                              <w:bidi w:val="0"/>
                              <w:spacing w:before="40" w:after="0"/>
                              <w:jc w:val="left"/>
                              <w:rPr>
                                <w:rFonts w:ascii="Times New Roman" w:hAnsi="Times New Roman"/>
                                <w:sz w:val="16"/>
                              </w:rPr>
                            </w:pPr>
                            <w:r>
                              <w:rPr>
                                <w:rFonts w:ascii="Times New Roman" w:hAnsi="Times New Roman"/>
                                <w:sz w:val="16"/>
                              </w:rPr>
                              <w:t xml:space="preserve">5. Sufficient facts to justify the exemption from tax under the terms of the treaty article. </w:t>
                            </w:r>
                          </w:p>
                          <w:p>
                            <w:pPr>
                              <w:pStyle w:val="TextBody"/>
                              <w:bidi w:val="0"/>
                              <w:spacing w:before="40" w:after="0"/>
                              <w:jc w:val="left"/>
                              <w:rPr>
                                <w:rFonts w:ascii="Times New Roman" w:hAnsi="Times New Roman"/>
                                <w:sz w:val="16"/>
                              </w:rPr>
                            </w:pPr>
                            <w:r>
                              <w:rPr>
                                <w:rFonts w:ascii="Times New Roman" w:hAnsi="Times New Roman"/>
                                <w:b/>
                                <w:i/>
                                <w:sz w:val="16"/>
                              </w:rPr>
                              <w:t>Example.</w:t>
                            </w:r>
                            <w:r>
                              <w:rPr>
                                <w:rFonts w:ascii="Times New Roman" w:hAnsi="Times New Roman"/>
                                <w:sz w:val="16"/>
                              </w:rPr>
                              <w:t xml:space="preserve"> Article 20 of the U.S.-China income tax treaty allows an exemption from tax for scholarship income received by a Chinese student temporarily present in the United States. Under U.S. law, this student will become a resident alien for tax purposes if their stay in the United States exceeds 5 calendar years. However, paragraph 2 of the first Protocol to the U.S.-China treaty (dated April 30, 1984) allows the provisions of Article 20 to continue to apply even after the Chinese student becomes a resident alien of the United States. A Chinese student who qualifies for this exception (under paragraph 2 of the first Protocol) and is relying on this exception to claim an exemption from tax on their scholarship or fellowship income would attach to Form W-9 a statement that includes the information described above to support that exemption. </w:t>
                            </w:r>
                          </w:p>
                          <w:p>
                            <w:pPr>
                              <w:pStyle w:val="TextBody"/>
                              <w:bidi w:val="0"/>
                              <w:spacing w:before="40" w:after="0"/>
                              <w:jc w:val="left"/>
                              <w:rPr>
                                <w:rFonts w:ascii="Times New Roman" w:hAnsi="Times New Roman"/>
                                <w:sz w:val="16"/>
                              </w:rPr>
                            </w:pPr>
                            <w:r>
                              <w:rPr>
                                <w:rFonts w:ascii="Times New Roman" w:hAnsi="Times New Roman"/>
                                <w:sz w:val="16"/>
                              </w:rPr>
                              <w:t xml:space="preserve">If you are a nonresident alien or a foreign entity, give the requester the appropriate completed Form W-8 or Form 8233. </w:t>
                            </w:r>
                          </w:p>
                          <w:p>
                            <w:pPr>
                              <w:pStyle w:val="TextBody"/>
                              <w:bidi w:val="0"/>
                              <w:spacing w:before="120" w:after="0"/>
                              <w:jc w:val="left"/>
                              <w:rPr>
                                <w:rFonts w:ascii="Times New Roman" w:hAnsi="Times New Roman"/>
                                <w:b/>
                                <w:sz w:val="24"/>
                              </w:rPr>
                            </w:pPr>
                            <w:r>
                              <w:rPr>
                                <w:rFonts w:ascii="Times New Roman" w:hAnsi="Times New Roman"/>
                                <w:b/>
                                <w:sz w:val="24"/>
                              </w:rPr>
                              <w:t xml:space="preserve">Backup Withholding </w:t>
                            </w:r>
                          </w:p>
                          <w:p>
                            <w:pPr>
                              <w:pStyle w:val="TextBody"/>
                              <w:bidi w:val="0"/>
                              <w:spacing w:before="120" w:after="0"/>
                              <w:jc w:val="left"/>
                              <w:rPr>
                                <w:rFonts w:ascii="Times New Roman" w:hAnsi="Times New Roman"/>
                                <w:sz w:val="16"/>
                              </w:rPr>
                            </w:pPr>
                            <w:r>
                              <w:rPr>
                                <w:rFonts w:ascii="Times New Roman" w:hAnsi="Times New Roman"/>
                                <w:b/>
                                <w:sz w:val="16"/>
                              </w:rPr>
                              <w:t>What is backup withholding?</w:t>
                            </w:r>
                            <w:r>
                              <w:rPr>
                                <w:rFonts w:ascii="Times New Roman" w:hAnsi="Times New Roman"/>
                                <w:sz w:val="16"/>
                              </w:rPr>
                              <w:t xml:space="preserve"> Persons making certain payments to you must under certain conditions withhold and pay to the IRS 24% of such payments. This is called “backup withholding.” Payments that may be subject to backup withholding include, but are not limited to, interest, tax-exempt interest, dividends, broker and barter exchange transactions, rents, royalties, nonemployee pay, payments made in settlement of payment card and third-party network transactions, and certain payments from fishing boat operators. Real estate transactions are not subject to backup withholding. </w:t>
                            </w:r>
                          </w:p>
                          <w:p>
                            <w:pPr>
                              <w:pStyle w:val="TextBody"/>
                              <w:bidi w:val="0"/>
                              <w:spacing w:before="40" w:after="0"/>
                              <w:jc w:val="left"/>
                              <w:rPr>
                                <w:rFonts w:ascii="Times New Roman" w:hAnsi="Times New Roman"/>
                                <w:sz w:val="16"/>
                              </w:rPr>
                            </w:pPr>
                            <w:r>
                              <w:rPr>
                                <w:rFonts w:ascii="Times New Roman" w:hAnsi="Times New Roman"/>
                                <w:sz w:val="16"/>
                              </w:rPr>
                              <w:t xml:space="preserve">You will not be subject to backup withholding on payments you receive if you give the requester your correct TIN, make the proper certifications, and report all your taxable interest and dividends on your tax return. </w:t>
                            </w:r>
                          </w:p>
                          <w:p>
                            <w:pPr>
                              <w:pStyle w:val="TextBody"/>
                              <w:bidi w:val="0"/>
                              <w:spacing w:before="40" w:after="0"/>
                              <w:jc w:val="left"/>
                              <w:rPr>
                                <w:rFonts w:ascii="Times New Roman" w:hAnsi="Times New Roman"/>
                                <w:b/>
                                <w:sz w:val="16"/>
                              </w:rPr>
                            </w:pPr>
                            <w:r>
                              <w:rPr>
                                <w:rFonts w:ascii="Times New Roman" w:hAnsi="Times New Roman"/>
                                <w:b/>
                                <w:sz w:val="16"/>
                              </w:rPr>
                              <w:t xml:space="preserve">Payments you receive will be subject to backup withholding if: </w:t>
                            </w:r>
                          </w:p>
                          <w:p>
                            <w:pPr>
                              <w:pStyle w:val="TextBody"/>
                              <w:bidi w:val="0"/>
                              <w:spacing w:before="40" w:after="0"/>
                              <w:jc w:val="left"/>
                              <w:rPr>
                                <w:rFonts w:ascii="Times New Roman" w:hAnsi="Times New Roman"/>
                                <w:sz w:val="16"/>
                              </w:rPr>
                            </w:pPr>
                            <w:r>
                              <w:rPr>
                                <w:rFonts w:ascii="Times New Roman" w:hAnsi="Times New Roman"/>
                                <w:sz w:val="16"/>
                              </w:rPr>
                              <w:t xml:space="preserve">1. You do not furnish your TIN to the requester; </w:t>
                            </w:r>
                          </w:p>
                          <w:p>
                            <w:pPr>
                              <w:pStyle w:val="TextBody"/>
                              <w:bidi w:val="0"/>
                              <w:spacing w:before="40" w:after="0"/>
                              <w:jc w:val="left"/>
                              <w:rPr>
                                <w:rFonts w:ascii="Times New Roman" w:hAnsi="Times New Roman"/>
                                <w:sz w:val="16"/>
                              </w:rPr>
                            </w:pPr>
                            <w:r>
                              <w:rPr>
                                <w:rFonts w:ascii="Times New Roman" w:hAnsi="Times New Roman"/>
                                <w:sz w:val="16"/>
                              </w:rPr>
                              <w:t xml:space="preserve">2. You do not certify your TIN when required (see the instructions for Part II for details);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17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Times New Roman" w:hAnsi="Times New Roman"/>
                          <w:sz w:val="16"/>
                        </w:rPr>
                      </w:pPr>
                      <w:r>
                        <w:rPr>
                          <w:rFonts w:ascii="Times New Roman" w:hAnsi="Times New Roman"/>
                          <w:sz w:val="16"/>
                        </w:rPr>
                        <w:t xml:space="preserve"> In the case of a U.S. trust (other than a grantor trust), the U.S. trust and not the beneficiaries of the trust. </w:t>
                      </w:r>
                    </w:p>
                    <w:p>
                      <w:pPr>
                        <w:pStyle w:val="TextBody"/>
                        <w:bidi w:val="0"/>
                        <w:spacing w:before="40" w:after="0"/>
                        <w:jc w:val="left"/>
                        <w:rPr>
                          <w:rFonts w:ascii="Times New Roman" w:hAnsi="Times New Roman"/>
                          <w:sz w:val="16"/>
                        </w:rPr>
                      </w:pPr>
                      <w:r>
                        <w:rPr>
                          <w:rFonts w:ascii="Times New Roman" w:hAnsi="Times New Roman"/>
                          <w:sz w:val="16"/>
                        </w:rPr>
                        <w:t xml:space="preserve">See Pub. 515 for more information on providing a Form W-9 or a certification of non-foreign status to avoid withholding. </w:t>
                      </w:r>
                    </w:p>
                    <w:p>
                      <w:pPr>
                        <w:pStyle w:val="TextBody"/>
                        <w:bidi w:val="0"/>
                        <w:spacing w:before="40" w:after="0"/>
                        <w:jc w:val="left"/>
                        <w:rPr>
                          <w:rFonts w:ascii="Times New Roman" w:hAnsi="Times New Roman"/>
                          <w:sz w:val="16"/>
                        </w:rPr>
                      </w:pPr>
                      <w:r>
                        <w:rPr>
                          <w:rFonts w:ascii="Times New Roman" w:hAnsi="Times New Roman"/>
                          <w:b/>
                          <w:sz w:val="16"/>
                        </w:rPr>
                        <w:t>Foreign person.</w:t>
                      </w:r>
                      <w:r>
                        <w:rPr>
                          <w:rFonts w:ascii="Times New Roman" w:hAnsi="Times New Roman"/>
                          <w:sz w:val="16"/>
                        </w:rPr>
                        <w:t xml:space="preserve"> If you are a foreign person or the U.S. branch of a foreign bank that has elected to be treated as a U.S. person (under Regulations section 1.1441-1(b)(2)(iv) or other applicable section for chapter 3 or 4 purposes), do not use Form W-9. Instead, use the appropriate Form W-8 or Form 8233 (see Pub. 515). If you are a qualified foreign pension fund under Regulations section 1.897(l)-1(d), or a partnership that is wholly owned by qualified foreign pension funds, that is treated as a non-foreign person for purposes of section 1445 withholding, do not use Form W-9. Instead, use Form W-8EXP (or other certification of non-foreign status). </w:t>
                      </w:r>
                    </w:p>
                    <w:p>
                      <w:pPr>
                        <w:pStyle w:val="TextBody"/>
                        <w:bidi w:val="0"/>
                        <w:spacing w:before="40" w:after="0"/>
                        <w:jc w:val="left"/>
                        <w:rPr>
                          <w:rFonts w:ascii="Times New Roman" w:hAnsi="Times New Roman"/>
                          <w:sz w:val="16"/>
                        </w:rPr>
                      </w:pPr>
                      <w:r>
                        <w:rPr>
                          <w:rFonts w:ascii="Times New Roman" w:hAnsi="Times New Roman"/>
                          <w:b/>
                          <w:sz w:val="16"/>
                        </w:rPr>
                        <w:t>Nonresident alien who becomes a resident alien.</w:t>
                      </w:r>
                      <w:r>
                        <w:rPr>
                          <w:rFonts w:ascii="Times New Roman" w:hAnsi="Times New Roman"/>
                          <w:sz w:val="16"/>
                        </w:rPr>
                        <w:t xml:space="preserve"> Generally, only a nonresident alien individual may use the terms of a tax treaty to reduce or eliminate U.S. tax on certain types of income. However, most tax treaties contain a provision known as a saving clause. Exceptions specified in the saving clause may permit an exemption from tax to continue for certain types of income even after the payee has otherwise become a U.S. resident alien for tax purposes. </w:t>
                      </w:r>
                    </w:p>
                    <w:p>
                      <w:pPr>
                        <w:pStyle w:val="TextBody"/>
                        <w:bidi w:val="0"/>
                        <w:spacing w:before="40" w:after="0"/>
                        <w:jc w:val="left"/>
                        <w:rPr>
                          <w:rFonts w:ascii="Times New Roman" w:hAnsi="Times New Roman"/>
                          <w:sz w:val="16"/>
                        </w:rPr>
                      </w:pPr>
                      <w:r>
                        <w:rPr>
                          <w:rFonts w:ascii="Times New Roman" w:hAnsi="Times New Roman"/>
                          <w:sz w:val="16"/>
                        </w:rPr>
                        <w:t xml:space="preserve">If you are a U.S. resident alien who is relying on an exception contained in the saving clause of a tax treaty to claim an exemption from U.S. tax on certain types of income, you must attach a statement to Form W-9 that specifies the following five items. </w:t>
                      </w:r>
                    </w:p>
                    <w:p>
                      <w:pPr>
                        <w:pStyle w:val="TextBody"/>
                        <w:bidi w:val="0"/>
                        <w:spacing w:before="40" w:after="0"/>
                        <w:jc w:val="left"/>
                        <w:rPr>
                          <w:rFonts w:ascii="Times New Roman" w:hAnsi="Times New Roman"/>
                          <w:sz w:val="16"/>
                        </w:rPr>
                      </w:pPr>
                      <w:r>
                        <w:rPr>
                          <w:rFonts w:ascii="Times New Roman" w:hAnsi="Times New Roman"/>
                          <w:sz w:val="16"/>
                        </w:rPr>
                        <w:t xml:space="preserve">1. The treaty country. Generally, this must be the same treaty under which you claimed exemption from tax as a nonresident alien. </w:t>
                      </w:r>
                    </w:p>
                    <w:p>
                      <w:pPr>
                        <w:pStyle w:val="TextBody"/>
                        <w:bidi w:val="0"/>
                        <w:spacing w:before="40" w:after="0"/>
                        <w:jc w:val="left"/>
                        <w:rPr>
                          <w:rFonts w:ascii="Times New Roman" w:hAnsi="Times New Roman"/>
                          <w:sz w:val="16"/>
                        </w:rPr>
                      </w:pPr>
                      <w:r>
                        <w:rPr>
                          <w:rFonts w:ascii="Times New Roman" w:hAnsi="Times New Roman"/>
                          <w:sz w:val="16"/>
                        </w:rPr>
                        <w:t xml:space="preserve">2. The treaty article addressing the income. </w:t>
                      </w:r>
                    </w:p>
                    <w:p>
                      <w:pPr>
                        <w:pStyle w:val="TextBody"/>
                        <w:bidi w:val="0"/>
                        <w:spacing w:before="40" w:after="0"/>
                        <w:jc w:val="left"/>
                        <w:rPr>
                          <w:rFonts w:ascii="Times New Roman" w:hAnsi="Times New Roman"/>
                          <w:sz w:val="16"/>
                        </w:rPr>
                      </w:pPr>
                      <w:r>
                        <w:rPr>
                          <w:rFonts w:ascii="Times New Roman" w:hAnsi="Times New Roman"/>
                          <w:sz w:val="16"/>
                        </w:rPr>
                        <w:t xml:space="preserve">3. The article number (or location) in the tax treaty that contains the saving clause and its exceptions. </w:t>
                      </w:r>
                    </w:p>
                    <w:p>
                      <w:pPr>
                        <w:pStyle w:val="TextBody"/>
                        <w:bidi w:val="0"/>
                        <w:spacing w:before="40" w:after="0"/>
                        <w:jc w:val="left"/>
                        <w:rPr>
                          <w:rFonts w:ascii="Times New Roman" w:hAnsi="Times New Roman"/>
                          <w:sz w:val="16"/>
                        </w:rPr>
                      </w:pPr>
                      <w:r>
                        <w:rPr>
                          <w:rFonts w:ascii="Times New Roman" w:hAnsi="Times New Roman"/>
                          <w:sz w:val="16"/>
                        </w:rPr>
                        <w:t xml:space="preserve">4. The type and amount of income that qualifies for the exemption from tax. </w:t>
                      </w:r>
                    </w:p>
                    <w:p>
                      <w:pPr>
                        <w:pStyle w:val="TextBody"/>
                        <w:bidi w:val="0"/>
                        <w:spacing w:before="40" w:after="0"/>
                        <w:jc w:val="left"/>
                        <w:rPr>
                          <w:rFonts w:ascii="Times New Roman" w:hAnsi="Times New Roman"/>
                          <w:sz w:val="16"/>
                        </w:rPr>
                      </w:pPr>
                      <w:r>
                        <w:rPr>
                          <w:rFonts w:ascii="Times New Roman" w:hAnsi="Times New Roman"/>
                          <w:sz w:val="16"/>
                        </w:rPr>
                        <w:t xml:space="preserve">5. Sufficient facts to justify the exemption from tax under the terms of the treaty article. </w:t>
                      </w:r>
                    </w:p>
                    <w:p>
                      <w:pPr>
                        <w:pStyle w:val="TextBody"/>
                        <w:bidi w:val="0"/>
                        <w:spacing w:before="40" w:after="0"/>
                        <w:jc w:val="left"/>
                        <w:rPr>
                          <w:rFonts w:ascii="Times New Roman" w:hAnsi="Times New Roman"/>
                          <w:sz w:val="16"/>
                        </w:rPr>
                      </w:pPr>
                      <w:r>
                        <w:rPr>
                          <w:rFonts w:ascii="Times New Roman" w:hAnsi="Times New Roman"/>
                          <w:b/>
                          <w:i/>
                          <w:sz w:val="16"/>
                        </w:rPr>
                        <w:t>Example.</w:t>
                      </w:r>
                      <w:r>
                        <w:rPr>
                          <w:rFonts w:ascii="Times New Roman" w:hAnsi="Times New Roman"/>
                          <w:sz w:val="16"/>
                        </w:rPr>
                        <w:t xml:space="preserve"> Article 20 of the U.S.-China income tax treaty allows an exemption from tax for scholarship income received by a Chinese student temporarily present in the United States. Under U.S. law, this student will become a resident alien for tax purposes if their stay in the United States exceeds 5 calendar years. However, paragraph 2 of the first Protocol to the U.S.-China treaty (dated April 30, 1984) allows the provisions of Article 20 to continue to apply even after the Chinese student becomes a resident alien of the United States. A Chinese student who qualifies for this exception (under paragraph 2 of the first Protocol) and is relying on this exception to claim an exemption from tax on their scholarship or fellowship income would attach to Form W-9 a statement that includes the information described above to support that exemption. </w:t>
                      </w:r>
                    </w:p>
                    <w:p>
                      <w:pPr>
                        <w:pStyle w:val="TextBody"/>
                        <w:bidi w:val="0"/>
                        <w:spacing w:before="40" w:after="0"/>
                        <w:jc w:val="left"/>
                        <w:rPr>
                          <w:rFonts w:ascii="Times New Roman" w:hAnsi="Times New Roman"/>
                          <w:sz w:val="16"/>
                        </w:rPr>
                      </w:pPr>
                      <w:r>
                        <w:rPr>
                          <w:rFonts w:ascii="Times New Roman" w:hAnsi="Times New Roman"/>
                          <w:sz w:val="16"/>
                        </w:rPr>
                        <w:t xml:space="preserve">If you are a nonresident alien or a foreign entity, give the requester the appropriate completed Form W-8 or Form 8233. </w:t>
                      </w:r>
                    </w:p>
                    <w:p>
                      <w:pPr>
                        <w:pStyle w:val="TextBody"/>
                        <w:bidi w:val="0"/>
                        <w:spacing w:before="120" w:after="0"/>
                        <w:jc w:val="left"/>
                        <w:rPr>
                          <w:rFonts w:ascii="Times New Roman" w:hAnsi="Times New Roman"/>
                          <w:b/>
                          <w:sz w:val="24"/>
                        </w:rPr>
                      </w:pPr>
                      <w:r>
                        <w:rPr>
                          <w:rFonts w:ascii="Times New Roman" w:hAnsi="Times New Roman"/>
                          <w:b/>
                          <w:sz w:val="24"/>
                        </w:rPr>
                        <w:t xml:space="preserve">Backup Withholding </w:t>
                      </w:r>
                    </w:p>
                    <w:p>
                      <w:pPr>
                        <w:pStyle w:val="TextBody"/>
                        <w:bidi w:val="0"/>
                        <w:spacing w:before="120" w:after="0"/>
                        <w:jc w:val="left"/>
                        <w:rPr>
                          <w:rFonts w:ascii="Times New Roman" w:hAnsi="Times New Roman"/>
                          <w:sz w:val="16"/>
                        </w:rPr>
                      </w:pPr>
                      <w:r>
                        <w:rPr>
                          <w:rFonts w:ascii="Times New Roman" w:hAnsi="Times New Roman"/>
                          <w:b/>
                          <w:sz w:val="16"/>
                        </w:rPr>
                        <w:t>What is backup withholding?</w:t>
                      </w:r>
                      <w:r>
                        <w:rPr>
                          <w:rFonts w:ascii="Times New Roman" w:hAnsi="Times New Roman"/>
                          <w:sz w:val="16"/>
                        </w:rPr>
                        <w:t xml:space="preserve"> Persons making certain payments to you must under certain conditions withhold and pay to the IRS 24% of such payments. This is called “backup withholding.” Payments that may be subject to backup withholding include, but are not limited to, interest, tax-exempt interest, dividends, broker and barter exchange transactions, rents, royalties, nonemployee pay, payments made in settlement of payment card and third-party network transactions, and certain payments from fishing boat operators. Real estate transactions are not subject to backup withholding. </w:t>
                      </w:r>
                    </w:p>
                    <w:p>
                      <w:pPr>
                        <w:pStyle w:val="TextBody"/>
                        <w:bidi w:val="0"/>
                        <w:spacing w:before="40" w:after="0"/>
                        <w:jc w:val="left"/>
                        <w:rPr>
                          <w:rFonts w:ascii="Times New Roman" w:hAnsi="Times New Roman"/>
                          <w:sz w:val="16"/>
                        </w:rPr>
                      </w:pPr>
                      <w:r>
                        <w:rPr>
                          <w:rFonts w:ascii="Times New Roman" w:hAnsi="Times New Roman"/>
                          <w:sz w:val="16"/>
                        </w:rPr>
                        <w:t xml:space="preserve">You will not be subject to backup withholding on payments you receive if you give the requester your correct TIN, make the proper certifications, and report all your taxable interest and dividends on your tax return. </w:t>
                      </w:r>
                    </w:p>
                    <w:p>
                      <w:pPr>
                        <w:pStyle w:val="TextBody"/>
                        <w:bidi w:val="0"/>
                        <w:spacing w:before="40" w:after="0"/>
                        <w:jc w:val="left"/>
                        <w:rPr>
                          <w:rFonts w:ascii="Times New Roman" w:hAnsi="Times New Roman"/>
                          <w:b/>
                          <w:sz w:val="16"/>
                        </w:rPr>
                      </w:pPr>
                      <w:r>
                        <w:rPr>
                          <w:rFonts w:ascii="Times New Roman" w:hAnsi="Times New Roman"/>
                          <w:b/>
                          <w:sz w:val="16"/>
                        </w:rPr>
                        <w:t xml:space="preserve">Payments you receive will be subject to backup withholding if: </w:t>
                      </w:r>
                    </w:p>
                    <w:p>
                      <w:pPr>
                        <w:pStyle w:val="TextBody"/>
                        <w:bidi w:val="0"/>
                        <w:spacing w:before="40" w:after="0"/>
                        <w:jc w:val="left"/>
                        <w:rPr>
                          <w:rFonts w:ascii="Times New Roman" w:hAnsi="Times New Roman"/>
                          <w:sz w:val="16"/>
                        </w:rPr>
                      </w:pPr>
                      <w:r>
                        <w:rPr>
                          <w:rFonts w:ascii="Times New Roman" w:hAnsi="Times New Roman"/>
                          <w:sz w:val="16"/>
                        </w:rPr>
                        <w:t xml:space="preserve">1. You do not furnish your TIN to the requester; </w:t>
                      </w:r>
                    </w:p>
                    <w:p>
                      <w:pPr>
                        <w:pStyle w:val="TextBody"/>
                        <w:bidi w:val="0"/>
                        <w:spacing w:before="40" w:after="0"/>
                        <w:jc w:val="left"/>
                        <w:rPr>
                          <w:rFonts w:ascii="Times New Roman" w:hAnsi="Times New Roman"/>
                          <w:sz w:val="16"/>
                        </w:rPr>
                      </w:pPr>
                      <w:r>
                        <w:rPr>
                          <w:rFonts w:ascii="Times New Roman" w:hAnsi="Times New Roman"/>
                          <w:sz w:val="16"/>
                        </w:rPr>
                        <w:t xml:space="preserve">2. You do not certify your TIN when required (see the instructions for Part II for details); </w:t>
                      </w:r>
                    </w:p>
                  </w:txbxContent>
                </v:textbox>
                <w10:wrap type="square" side="right"/>
              </v:rect>
            </w:pict>
          </mc:Fallback>
        </mc:AlternateContent>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779"/>
        <w:gridCol w:w="426"/>
      </w:tblGrid>
      <w:tr>
        <w:trPr/>
        <w:tc>
          <w:tcPr>
            <w:tcW w:w="9779" w:type="dxa"/>
            <w:tcBorders/>
          </w:tcPr>
          <w:p>
            <w:pPr>
              <w:pStyle w:val="TableContents"/>
              <w:bidi w:val="0"/>
              <w:spacing w:before="0" w:after="20"/>
              <w:jc w:val="left"/>
              <w:rPr>
                <w:rFonts w:ascii="Times New Roman" w:hAnsi="Times New Roman"/>
                <w:sz w:val="14"/>
              </w:rPr>
            </w:pPr>
            <w:r>
              <w:rPr>
                <w:rFonts w:ascii="Times New Roman" w:hAnsi="Times New Roman"/>
                <w:sz w:val="14"/>
              </w:rPr>
              <w:t xml:space="preserve">Form W-9 (Rev. 3-2024) </w:t>
            </w:r>
          </w:p>
        </w:tc>
        <w:tc>
          <w:tcPr>
            <w:tcW w:w="426" w:type="dxa"/>
            <w:tcBorders/>
          </w:tcPr>
          <w:p>
            <w:pPr>
              <w:pStyle w:val="TableContents"/>
              <w:bidi w:val="0"/>
              <w:spacing w:before="0" w:after="20"/>
              <w:jc w:val="right"/>
              <w:rPr>
                <w:rFonts w:ascii="Times New Roman" w:hAnsi="Times New Roman"/>
                <w:sz w:val="14"/>
              </w:rPr>
            </w:pPr>
            <w:r>
              <w:rPr>
                <w:rFonts w:ascii="Times New Roman" w:hAnsi="Times New Roman"/>
                <w:sz w:val="14"/>
              </w:rPr>
              <w:t>Page </w:t>
            </w:r>
            <w:r>
              <w:rPr>
                <w:rFonts w:ascii="Times New Roman" w:hAnsi="Times New Roman"/>
                <w:b/>
                <w:sz w:val="20"/>
              </w:rPr>
              <w:t>3</w:t>
            </w:r>
            <w:r>
              <w:rPr>
                <w:rFonts w:ascii="Times New Roman" w:hAnsi="Times New Roman"/>
                <w:sz w:val="14"/>
              </w:rPr>
              <w:t xml:space="preserve"> </w:t>
            </w:r>
          </w:p>
        </w:tc>
      </w:tr>
    </w:tbl>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jc w:val="left"/>
        <w:rPr/>
      </w:pPr>
      <w:r>
        <w:rPr/>
        <w:t> </w:t>
      </w:r>
      <w:r>
        <w:br w:type="page"/>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3110230" cy="8424545"/>
                <wp:effectExtent l="0" t="0" r="0" b="0"/>
                <wp:wrapSquare wrapText="right"/>
                <wp:docPr id="9" name="Frame5"/>
                <a:graphic xmlns:a="http://schemas.openxmlformats.org/drawingml/2006/main">
                  <a:graphicData uri="http://schemas.microsoft.com/office/word/2010/wordprocessingShape">
                    <wps:wsp>
                      <wps:cNvSpPr txBox="1"/>
                      <wps:spPr>
                        <a:xfrm>
                          <a:off x="0" y="0"/>
                          <a:ext cx="3110230" cy="8424545"/>
                        </a:xfrm>
                        <a:prstGeom prst="rect"/>
                        <a:solidFill>
                          <a:srgbClr val="FFFFFF"/>
                        </a:solidFill>
                      </wps:spPr>
                      <wps:txbx>
                        <w:txbxContent>
                          <w:p>
                            <w:pPr>
                              <w:pStyle w:val="TextBody"/>
                              <w:bidi w:val="0"/>
                              <w:spacing w:before="0" w:after="0"/>
                              <w:jc w:val="left"/>
                              <w:rPr>
                                <w:rFonts w:ascii="Times New Roman" w:hAnsi="Times New Roman"/>
                                <w:sz w:val="16"/>
                              </w:rPr>
                            </w:pPr>
                            <w:r>
                              <w:rPr>
                                <w:rFonts w:ascii="Times New Roman" w:hAnsi="Times New Roman"/>
                                <w:sz w:val="16"/>
                              </w:rPr>
                              <w:t xml:space="preserve">3. The IRS tells the requester that you furnished an incorrect TIN; </w:t>
                            </w:r>
                          </w:p>
                          <w:p>
                            <w:pPr>
                              <w:pStyle w:val="TextBody"/>
                              <w:bidi w:val="0"/>
                              <w:spacing w:before="40" w:after="0"/>
                              <w:jc w:val="left"/>
                              <w:rPr>
                                <w:rFonts w:ascii="Times New Roman" w:hAnsi="Times New Roman"/>
                                <w:sz w:val="16"/>
                              </w:rPr>
                            </w:pPr>
                            <w:r>
                              <w:rPr>
                                <w:rFonts w:ascii="Times New Roman" w:hAnsi="Times New Roman"/>
                                <w:sz w:val="16"/>
                              </w:rPr>
                              <w:t xml:space="preserve">4. The IRS tells you that you are subject to backup withholding because you did not report all your interest and dividends on your tax return (for reportable interest and dividends only); or </w:t>
                            </w:r>
                          </w:p>
                          <w:p>
                            <w:pPr>
                              <w:pStyle w:val="TextBody"/>
                              <w:bidi w:val="0"/>
                              <w:spacing w:before="40" w:after="0"/>
                              <w:jc w:val="left"/>
                              <w:rPr>
                                <w:rFonts w:ascii="Times New Roman" w:hAnsi="Times New Roman"/>
                                <w:sz w:val="16"/>
                              </w:rPr>
                            </w:pPr>
                            <w:r>
                              <w:rPr>
                                <w:rFonts w:ascii="Times New Roman" w:hAnsi="Times New Roman"/>
                                <w:sz w:val="16"/>
                              </w:rPr>
                              <w:t>5. You do not certify to the requester that you are not subject to backup withholding, as described in item 4 under “</w:t>
                            </w:r>
                            <w:r>
                              <w:rPr>
                                <w:rFonts w:ascii="Times New Roman" w:hAnsi="Times New Roman"/>
                                <w:i/>
                                <w:sz w:val="16"/>
                              </w:rPr>
                              <w:t>By signing the filled-out form</w:t>
                            </w:r>
                            <w:r>
                              <w:rPr>
                                <w:rFonts w:ascii="Times New Roman" w:hAnsi="Times New Roman"/>
                                <w:sz w:val="16"/>
                              </w:rPr>
                              <w:t xml:space="preserve">” above (for reportable interest and dividend accounts opened after 1983 only). </w:t>
                            </w:r>
                          </w:p>
                          <w:p>
                            <w:pPr>
                              <w:pStyle w:val="TextBody"/>
                              <w:bidi w:val="0"/>
                              <w:spacing w:before="40" w:after="0"/>
                              <w:jc w:val="left"/>
                              <w:rPr>
                                <w:rFonts w:ascii="Times New Roman" w:hAnsi="Times New Roman"/>
                                <w:sz w:val="16"/>
                              </w:rPr>
                            </w:pPr>
                            <w:r>
                              <w:rPr>
                                <w:rFonts w:ascii="Times New Roman" w:hAnsi="Times New Roman"/>
                                <w:sz w:val="16"/>
                              </w:rPr>
                              <w:t xml:space="preserve">Certain payees and payments are exempt from backup withholding. See </w:t>
                            </w:r>
                            <w:r>
                              <w:rPr>
                                <w:rFonts w:ascii="Times New Roman" w:hAnsi="Times New Roman"/>
                                <w:i/>
                                <w:sz w:val="16"/>
                              </w:rPr>
                              <w:t>Exempt payee code</w:t>
                            </w:r>
                            <w:r>
                              <w:rPr>
                                <w:rFonts w:ascii="Times New Roman" w:hAnsi="Times New Roman"/>
                                <w:sz w:val="16"/>
                              </w:rPr>
                              <w:t xml:space="preserve">, later, and the separate Instructions for the Requester of Form W-9 for more information. </w:t>
                            </w:r>
                          </w:p>
                          <w:p>
                            <w:pPr>
                              <w:pStyle w:val="TextBody"/>
                              <w:bidi w:val="0"/>
                              <w:spacing w:before="40" w:after="0"/>
                              <w:jc w:val="left"/>
                              <w:rPr>
                                <w:rFonts w:ascii="Times New Roman" w:hAnsi="Times New Roman"/>
                                <w:sz w:val="16"/>
                              </w:rPr>
                            </w:pPr>
                            <w:r>
                              <w:rPr>
                                <w:rFonts w:ascii="Times New Roman" w:hAnsi="Times New Roman"/>
                                <w:sz w:val="16"/>
                              </w:rPr>
                              <w:t xml:space="preserve">See also </w:t>
                            </w:r>
                            <w:r>
                              <w:rPr>
                                <w:rFonts w:ascii="Times New Roman" w:hAnsi="Times New Roman"/>
                                <w:i/>
                                <w:sz w:val="16"/>
                              </w:rPr>
                              <w:t xml:space="preserve">Establishing U.S. status for purposes of chapter 3 and chapter 4 withholding, </w:t>
                            </w:r>
                            <w:r>
                              <w:rPr>
                                <w:rFonts w:ascii="Times New Roman" w:hAnsi="Times New Roman"/>
                                <w:sz w:val="16"/>
                              </w:rPr>
                              <w:t xml:space="preserve">earlier. </w:t>
                            </w:r>
                          </w:p>
                          <w:p>
                            <w:pPr>
                              <w:pStyle w:val="TextBody"/>
                              <w:bidi w:val="0"/>
                              <w:spacing w:before="120" w:after="0"/>
                              <w:jc w:val="left"/>
                              <w:rPr>
                                <w:rFonts w:ascii="Times New Roman" w:hAnsi="Times New Roman"/>
                                <w:b/>
                                <w:sz w:val="24"/>
                              </w:rPr>
                            </w:pPr>
                            <w:r>
                              <w:rPr>
                                <w:rFonts w:ascii="Times New Roman" w:hAnsi="Times New Roman"/>
                                <w:b/>
                                <w:sz w:val="24"/>
                              </w:rPr>
                              <w:t xml:space="preserve">What Is FATCA Reporting? </w:t>
                            </w:r>
                          </w:p>
                          <w:p>
                            <w:pPr>
                              <w:pStyle w:val="TextBody"/>
                              <w:bidi w:val="0"/>
                              <w:spacing w:before="120" w:after="0"/>
                              <w:jc w:val="left"/>
                              <w:rPr>
                                <w:rFonts w:ascii="Times New Roman" w:hAnsi="Times New Roman"/>
                                <w:sz w:val="16"/>
                              </w:rPr>
                            </w:pPr>
                            <w:r>
                              <w:rPr>
                                <w:rFonts w:ascii="Times New Roman" w:hAnsi="Times New Roman"/>
                                <w:sz w:val="16"/>
                              </w:rPr>
                              <w:t xml:space="preserve">The Foreign Account Tax Compliance Act (FATCA) requires a participating foreign financial institution to report all U.S. account holders that are specified U.S. persons. Certain payees are exempt from FATCA reporting. See </w:t>
                            </w:r>
                            <w:r>
                              <w:rPr>
                                <w:rFonts w:ascii="Times New Roman" w:hAnsi="Times New Roman"/>
                                <w:i/>
                                <w:sz w:val="16"/>
                              </w:rPr>
                              <w:t>Exemption from FATCA reporting code</w:t>
                            </w:r>
                            <w:r>
                              <w:rPr>
                                <w:rFonts w:ascii="Times New Roman" w:hAnsi="Times New Roman"/>
                                <w:sz w:val="16"/>
                              </w:rPr>
                              <w:t xml:space="preserve">, later, and the Instructions for the Requester of Form W-9 for more information. </w:t>
                            </w:r>
                          </w:p>
                          <w:p>
                            <w:pPr>
                              <w:pStyle w:val="TextBody"/>
                              <w:bidi w:val="0"/>
                              <w:spacing w:before="120" w:after="0"/>
                              <w:jc w:val="left"/>
                              <w:rPr>
                                <w:rFonts w:ascii="Times New Roman" w:hAnsi="Times New Roman"/>
                                <w:b/>
                                <w:sz w:val="24"/>
                              </w:rPr>
                            </w:pPr>
                            <w:r>
                              <w:rPr>
                                <w:rFonts w:ascii="Times New Roman" w:hAnsi="Times New Roman"/>
                                <w:b/>
                                <w:sz w:val="24"/>
                              </w:rPr>
                              <w:t xml:space="preserve">Updating Your Information </w:t>
                            </w:r>
                          </w:p>
                          <w:p>
                            <w:pPr>
                              <w:pStyle w:val="TextBody"/>
                              <w:bidi w:val="0"/>
                              <w:spacing w:before="120" w:after="0"/>
                              <w:jc w:val="left"/>
                              <w:rPr>
                                <w:rFonts w:ascii="Times New Roman" w:hAnsi="Times New Roman"/>
                                <w:sz w:val="16"/>
                              </w:rPr>
                            </w:pPr>
                            <w:r>
                              <w:rPr>
                                <w:rFonts w:ascii="Times New Roman" w:hAnsi="Times New Roman"/>
                                <w:sz w:val="16"/>
                              </w:rPr>
                              <w:t xml:space="preserve">You must provide updated information to any person to whom you claimed to be an exempt payee if you are no longer an exempt payee and anticipate receiving reportable payments in the future from this person. For example, you may need to provide updated information if you are a C corporation that elects to be an S corporation, or if you are no longer tax exempt. In addition, you must furnish a new Form W-9 if the name or TIN changes for the account, for example, if the grantor of a grantor trust dies. </w:t>
                            </w:r>
                          </w:p>
                          <w:p>
                            <w:pPr>
                              <w:pStyle w:val="TextBody"/>
                              <w:bidi w:val="0"/>
                              <w:spacing w:before="120" w:after="0"/>
                              <w:jc w:val="left"/>
                              <w:rPr>
                                <w:rFonts w:ascii="Times New Roman" w:hAnsi="Times New Roman"/>
                                <w:b/>
                                <w:sz w:val="24"/>
                              </w:rPr>
                            </w:pPr>
                            <w:r>
                              <w:rPr>
                                <w:rFonts w:ascii="Times New Roman" w:hAnsi="Times New Roman"/>
                                <w:b/>
                                <w:sz w:val="24"/>
                              </w:rPr>
                              <w:t xml:space="preserve">Penalties </w:t>
                            </w:r>
                          </w:p>
                          <w:p>
                            <w:pPr>
                              <w:pStyle w:val="TextBody"/>
                              <w:bidi w:val="0"/>
                              <w:spacing w:before="120" w:after="0"/>
                              <w:jc w:val="left"/>
                              <w:rPr>
                                <w:rFonts w:ascii="Times New Roman" w:hAnsi="Times New Roman"/>
                                <w:sz w:val="16"/>
                              </w:rPr>
                            </w:pPr>
                            <w:r>
                              <w:rPr>
                                <w:rFonts w:ascii="Times New Roman" w:hAnsi="Times New Roman"/>
                                <w:b/>
                                <w:sz w:val="16"/>
                              </w:rPr>
                              <w:t>Failure to furnish TIN.</w:t>
                            </w:r>
                            <w:r>
                              <w:rPr>
                                <w:rFonts w:ascii="Times New Roman" w:hAnsi="Times New Roman"/>
                                <w:sz w:val="16"/>
                              </w:rPr>
                              <w:t xml:space="preserve"> If you fail to furnish your correct TIN to a requester, you are subject to a penalty of $50 for each such failure unless your failure is due to reasonable cause and not to willful neglect. </w:t>
                            </w:r>
                          </w:p>
                          <w:p>
                            <w:pPr>
                              <w:pStyle w:val="TextBody"/>
                              <w:bidi w:val="0"/>
                              <w:spacing w:before="40" w:after="0"/>
                              <w:jc w:val="left"/>
                              <w:rPr>
                                <w:rFonts w:ascii="Times New Roman" w:hAnsi="Times New Roman"/>
                                <w:sz w:val="16"/>
                              </w:rPr>
                            </w:pPr>
                            <w:r>
                              <w:rPr>
                                <w:rFonts w:ascii="Times New Roman" w:hAnsi="Times New Roman"/>
                                <w:b/>
                                <w:sz w:val="16"/>
                              </w:rPr>
                              <w:t>Civil penalty for false information with respect to withholding.</w:t>
                            </w:r>
                            <w:r>
                              <w:rPr>
                                <w:rFonts w:ascii="Times New Roman" w:hAnsi="Times New Roman"/>
                                <w:sz w:val="16"/>
                              </w:rPr>
                              <w:t xml:space="preserve"> If you make a false statement with no reasonable basis that results in no backup withholding, you are subject to a $500 penalty. </w:t>
                            </w:r>
                          </w:p>
                          <w:p>
                            <w:pPr>
                              <w:pStyle w:val="TextBody"/>
                              <w:bidi w:val="0"/>
                              <w:spacing w:before="40" w:after="0"/>
                              <w:jc w:val="left"/>
                              <w:rPr>
                                <w:rFonts w:ascii="Times New Roman" w:hAnsi="Times New Roman"/>
                                <w:sz w:val="16"/>
                              </w:rPr>
                            </w:pPr>
                            <w:r>
                              <w:rPr>
                                <w:rFonts w:ascii="Times New Roman" w:hAnsi="Times New Roman"/>
                                <w:b/>
                                <w:sz w:val="16"/>
                              </w:rPr>
                              <w:t>Criminal penalty for falsifying information.</w:t>
                            </w:r>
                            <w:r>
                              <w:rPr>
                                <w:rFonts w:ascii="Times New Roman" w:hAnsi="Times New Roman"/>
                                <w:sz w:val="16"/>
                              </w:rPr>
                              <w:t xml:space="preserve"> Willfully falsifying certifications or affirmations may subject you to criminal penalties including fines and/or imprisonment. </w:t>
                            </w:r>
                          </w:p>
                          <w:p>
                            <w:pPr>
                              <w:pStyle w:val="TextBody"/>
                              <w:bidi w:val="0"/>
                              <w:spacing w:before="40" w:after="0"/>
                              <w:jc w:val="left"/>
                              <w:rPr>
                                <w:rFonts w:ascii="Times New Roman" w:hAnsi="Times New Roman"/>
                                <w:sz w:val="16"/>
                              </w:rPr>
                            </w:pPr>
                            <w:r>
                              <w:rPr>
                                <w:rFonts w:ascii="Times New Roman" w:hAnsi="Times New Roman"/>
                                <w:b/>
                                <w:sz w:val="16"/>
                              </w:rPr>
                              <w:t>Misuse of TINs.</w:t>
                            </w:r>
                            <w:r>
                              <w:rPr>
                                <w:rFonts w:ascii="Times New Roman" w:hAnsi="Times New Roman"/>
                                <w:sz w:val="16"/>
                              </w:rPr>
                              <w:t xml:space="preserve"> If the requester discloses or uses TINs in violation of federal law, the requester may be subject to civil and criminal penalties. </w:t>
                            </w:r>
                          </w:p>
                          <w:p>
                            <w:pPr>
                              <w:pStyle w:val="TextBody"/>
                              <w:bidi w:val="0"/>
                              <w:spacing w:before="120" w:after="0"/>
                              <w:jc w:val="left"/>
                              <w:rPr>
                                <w:rFonts w:ascii="Times New Roman" w:hAnsi="Times New Roman"/>
                                <w:b/>
                                <w:sz w:val="28"/>
                              </w:rPr>
                            </w:pPr>
                            <w:r>
                              <w:rPr>
                                <w:rFonts w:ascii="Times New Roman" w:hAnsi="Times New Roman"/>
                                <w:b/>
                                <w:sz w:val="28"/>
                              </w:rPr>
                              <w:t xml:space="preserve">Specific Instructions </w:t>
                            </w:r>
                          </w:p>
                          <w:p>
                            <w:pPr>
                              <w:pStyle w:val="TextBody"/>
                              <w:bidi w:val="0"/>
                              <w:spacing w:before="120" w:after="0"/>
                              <w:jc w:val="left"/>
                              <w:rPr>
                                <w:rFonts w:ascii="Times New Roman" w:hAnsi="Times New Roman"/>
                                <w:b/>
                                <w:sz w:val="22"/>
                              </w:rPr>
                            </w:pPr>
                            <w:r>
                              <w:rPr>
                                <w:rFonts w:ascii="Times New Roman" w:hAnsi="Times New Roman"/>
                                <w:b/>
                                <w:sz w:val="22"/>
                              </w:rPr>
                              <w:t xml:space="preserve">Line 1 </w:t>
                            </w:r>
                          </w:p>
                          <w:p>
                            <w:pPr>
                              <w:pStyle w:val="TextBody"/>
                              <w:bidi w:val="0"/>
                              <w:spacing w:before="120" w:after="0"/>
                              <w:jc w:val="left"/>
                              <w:rPr>
                                <w:rFonts w:ascii="Times New Roman" w:hAnsi="Times New Roman"/>
                                <w:sz w:val="16"/>
                              </w:rPr>
                            </w:pPr>
                            <w:r>
                              <w:rPr>
                                <w:rFonts w:ascii="Times New Roman" w:hAnsi="Times New Roman"/>
                                <w:sz w:val="16"/>
                              </w:rPr>
                              <w:t xml:space="preserve">You must enter one of the following on this line; </w:t>
                            </w:r>
                            <w:r>
                              <w:rPr>
                                <w:rFonts w:ascii="Times New Roman" w:hAnsi="Times New Roman"/>
                                <w:b/>
                                <w:sz w:val="16"/>
                              </w:rPr>
                              <w:t>do not</w:t>
                            </w:r>
                            <w:r>
                              <w:rPr>
                                <w:rFonts w:ascii="Times New Roman" w:hAnsi="Times New Roman"/>
                                <w:sz w:val="16"/>
                              </w:rPr>
                              <w:t xml:space="preserve"> leave this line blank. The name should match the name on your tax return. </w:t>
                            </w:r>
                          </w:p>
                          <w:p>
                            <w:pPr>
                              <w:pStyle w:val="TextBody"/>
                              <w:bidi w:val="0"/>
                              <w:spacing w:before="40" w:after="0"/>
                              <w:jc w:val="left"/>
                              <w:rPr>
                                <w:rFonts w:ascii="Times New Roman" w:hAnsi="Times New Roman"/>
                                <w:sz w:val="16"/>
                              </w:rPr>
                            </w:pPr>
                            <w:r>
                              <w:rPr>
                                <w:rFonts w:ascii="Times New Roman" w:hAnsi="Times New Roman"/>
                                <w:sz w:val="16"/>
                              </w:rPr>
                              <w:t>If this Form W-9 is for a joint account (other than an account maintained by a foreign financial institution (FFI)), list first, and then circle, the name of the person or entity whose number you entered in Part I of Form W-9. If you are providing Form W-9 to an FFI to document a joint account, each holder of the account that is a U.S. person must provide a Form W-9.</w:t>
                            </w:r>
                          </w:p>
                          <w:p>
                            <w:pPr>
                              <w:pStyle w:val="TextBody"/>
                              <w:bidi w:val="0"/>
                              <w:spacing w:before="40" w:after="0"/>
                              <w:jc w:val="left"/>
                              <w:rPr>
                                <w:rFonts w:ascii="Times New Roman" w:hAnsi="Times New Roman"/>
                                <w:sz w:val="16"/>
                              </w:rPr>
                            </w:pPr>
                            <w:r>
                              <w:rPr>
                                <w:rFonts w:ascii="Times New Roman" w:hAnsi="Times New Roman"/>
                                <w:sz w:val="16"/>
                              </w:rPr>
                              <w:t> </w:t>
                            </w:r>
                            <w:r>
                              <w:rPr>
                                <w:rFonts w:ascii="Times New Roman" w:hAnsi="Times New Roman"/>
                                <w:b/>
                                <w:sz w:val="16"/>
                              </w:rPr>
                              <w:t>Individual.</w:t>
                            </w:r>
                            <w:r>
                              <w:rPr>
                                <w:rFonts w:ascii="Times New Roman" w:hAnsi="Times New Roman"/>
                                <w:sz w:val="16"/>
                              </w:rPr>
                              <w:t xml:space="preserve"> Generally, enter the name shown on your tax return. If you have changed your last name without informing the Social Security Administration (SSA) of the name change, enter your first name, the last name as shown on your social security card, and your new last name. </w:t>
                            </w:r>
                          </w:p>
                          <w:p>
                            <w:pPr>
                              <w:pStyle w:val="TextBody"/>
                              <w:bidi w:val="0"/>
                              <w:spacing w:before="40" w:after="0"/>
                              <w:jc w:val="left"/>
                              <w:rPr>
                                <w:rFonts w:ascii="Times New Roman" w:hAnsi="Times New Roman"/>
                                <w:sz w:val="16"/>
                              </w:rPr>
                            </w:pPr>
                            <w:r>
                              <w:rPr>
                                <w:rFonts w:ascii="Times New Roman" w:hAnsi="Times New Roman"/>
                                <w:b/>
                                <w:sz w:val="16"/>
                              </w:rPr>
                              <w:t>Note for ITIN applicant:</w:t>
                            </w:r>
                            <w:r>
                              <w:rPr>
                                <w:rFonts w:ascii="Times New Roman" w:hAnsi="Times New Roman"/>
                                <w:sz w:val="16"/>
                              </w:rPr>
                              <w:t xml:space="preserve"> Enter your individual name as it was entered on your Form W-7 application, line 1a. This should also be the same as the name you entered on the Form 1040 you filed with your application. </w:t>
                            </w:r>
                          </w:p>
                          <w:p>
                            <w:pPr>
                              <w:pStyle w:val="TextBody"/>
                              <w:bidi w:val="0"/>
                              <w:spacing w:before="40" w:after="0"/>
                              <w:jc w:val="left"/>
                              <w:rPr>
                                <w:rFonts w:ascii="Times New Roman" w:hAnsi="Times New Roman"/>
                                <w:sz w:val="16"/>
                              </w:rPr>
                            </w:pPr>
                            <w:r>
                              <w:rPr>
                                <w:rFonts w:ascii="Times New Roman" w:hAnsi="Times New Roman"/>
                                <w:sz w:val="16"/>
                              </w:rPr>
                              <w:t> </w:t>
                            </w:r>
                            <w:r>
                              <w:rPr>
                                <w:rFonts w:ascii="Times New Roman" w:hAnsi="Times New Roman"/>
                                <w:b/>
                                <w:sz w:val="16"/>
                              </w:rPr>
                              <w:t>Sole proprietor.</w:t>
                            </w:r>
                            <w:r>
                              <w:rPr>
                                <w:rFonts w:ascii="Times New Roman" w:hAnsi="Times New Roman"/>
                                <w:sz w:val="16"/>
                              </w:rPr>
                              <w:t xml:space="preserve"> Enter your individual name as shown on your Form 1040 on line 1. Enter your business, trade, or “doing business as” (DBA) name on line 2. </w:t>
                            </w:r>
                          </w:p>
                          <w:p>
                            <w:pPr>
                              <w:pStyle w:val="TextBody"/>
                              <w:bidi w:val="0"/>
                              <w:spacing w:before="40" w:after="0"/>
                              <w:jc w:val="left"/>
                              <w:rPr>
                                <w:rFonts w:ascii="Times New Roman" w:hAnsi="Times New Roman"/>
                                <w:sz w:val="16"/>
                              </w:rPr>
                            </w:pPr>
                            <w:r>
                              <w:rPr>
                                <w:rFonts w:ascii="Times New Roman" w:hAnsi="Times New Roman"/>
                                <w:sz w:val="16"/>
                              </w:rPr>
                              <w:t> </w:t>
                            </w:r>
                            <w:r>
                              <w:rPr>
                                <w:rFonts w:ascii="Times New Roman" w:hAnsi="Times New Roman"/>
                                <w:b/>
                                <w:sz w:val="16"/>
                              </w:rPr>
                              <w:t>Partnership, C corporation, S corporation, or LLC, other than a disregarded entity.</w:t>
                            </w:r>
                            <w:r>
                              <w:rPr>
                                <w:rFonts w:ascii="Times New Roman" w:hAnsi="Times New Roman"/>
                                <w:sz w:val="16"/>
                              </w:rPr>
                              <w:t xml:space="preserve"> Enter the entity’s name as shown on the entity’s tax return on line 1 and any business, trade, or DBA name on line 2.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63.3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Times New Roman" w:hAnsi="Times New Roman"/>
                          <w:sz w:val="16"/>
                        </w:rPr>
                      </w:pPr>
                      <w:r>
                        <w:rPr>
                          <w:rFonts w:ascii="Times New Roman" w:hAnsi="Times New Roman"/>
                          <w:sz w:val="16"/>
                        </w:rPr>
                        <w:t xml:space="preserve">3. The IRS tells the requester that you furnished an incorrect TIN; </w:t>
                      </w:r>
                    </w:p>
                    <w:p>
                      <w:pPr>
                        <w:pStyle w:val="TextBody"/>
                        <w:bidi w:val="0"/>
                        <w:spacing w:before="40" w:after="0"/>
                        <w:jc w:val="left"/>
                        <w:rPr>
                          <w:rFonts w:ascii="Times New Roman" w:hAnsi="Times New Roman"/>
                          <w:sz w:val="16"/>
                        </w:rPr>
                      </w:pPr>
                      <w:r>
                        <w:rPr>
                          <w:rFonts w:ascii="Times New Roman" w:hAnsi="Times New Roman"/>
                          <w:sz w:val="16"/>
                        </w:rPr>
                        <w:t xml:space="preserve">4. The IRS tells you that you are subject to backup withholding because you did not report all your interest and dividends on your tax return (for reportable interest and dividends only); or </w:t>
                      </w:r>
                    </w:p>
                    <w:p>
                      <w:pPr>
                        <w:pStyle w:val="TextBody"/>
                        <w:bidi w:val="0"/>
                        <w:spacing w:before="40" w:after="0"/>
                        <w:jc w:val="left"/>
                        <w:rPr>
                          <w:rFonts w:ascii="Times New Roman" w:hAnsi="Times New Roman"/>
                          <w:sz w:val="16"/>
                        </w:rPr>
                      </w:pPr>
                      <w:r>
                        <w:rPr>
                          <w:rFonts w:ascii="Times New Roman" w:hAnsi="Times New Roman"/>
                          <w:sz w:val="16"/>
                        </w:rPr>
                        <w:t>5. You do not certify to the requester that you are not subject to backup withholding, as described in item 4 under “</w:t>
                      </w:r>
                      <w:r>
                        <w:rPr>
                          <w:rFonts w:ascii="Times New Roman" w:hAnsi="Times New Roman"/>
                          <w:i/>
                          <w:sz w:val="16"/>
                        </w:rPr>
                        <w:t>By signing the filled-out form</w:t>
                      </w:r>
                      <w:r>
                        <w:rPr>
                          <w:rFonts w:ascii="Times New Roman" w:hAnsi="Times New Roman"/>
                          <w:sz w:val="16"/>
                        </w:rPr>
                        <w:t xml:space="preserve">” above (for reportable interest and dividend accounts opened after 1983 only). </w:t>
                      </w:r>
                    </w:p>
                    <w:p>
                      <w:pPr>
                        <w:pStyle w:val="TextBody"/>
                        <w:bidi w:val="0"/>
                        <w:spacing w:before="40" w:after="0"/>
                        <w:jc w:val="left"/>
                        <w:rPr>
                          <w:rFonts w:ascii="Times New Roman" w:hAnsi="Times New Roman"/>
                          <w:sz w:val="16"/>
                        </w:rPr>
                      </w:pPr>
                      <w:r>
                        <w:rPr>
                          <w:rFonts w:ascii="Times New Roman" w:hAnsi="Times New Roman"/>
                          <w:sz w:val="16"/>
                        </w:rPr>
                        <w:t xml:space="preserve">Certain payees and payments are exempt from backup withholding. See </w:t>
                      </w:r>
                      <w:r>
                        <w:rPr>
                          <w:rFonts w:ascii="Times New Roman" w:hAnsi="Times New Roman"/>
                          <w:i/>
                          <w:sz w:val="16"/>
                        </w:rPr>
                        <w:t>Exempt payee code</w:t>
                      </w:r>
                      <w:r>
                        <w:rPr>
                          <w:rFonts w:ascii="Times New Roman" w:hAnsi="Times New Roman"/>
                          <w:sz w:val="16"/>
                        </w:rPr>
                        <w:t xml:space="preserve">, later, and the separate Instructions for the Requester of Form W-9 for more information. </w:t>
                      </w:r>
                    </w:p>
                    <w:p>
                      <w:pPr>
                        <w:pStyle w:val="TextBody"/>
                        <w:bidi w:val="0"/>
                        <w:spacing w:before="40" w:after="0"/>
                        <w:jc w:val="left"/>
                        <w:rPr>
                          <w:rFonts w:ascii="Times New Roman" w:hAnsi="Times New Roman"/>
                          <w:sz w:val="16"/>
                        </w:rPr>
                      </w:pPr>
                      <w:r>
                        <w:rPr>
                          <w:rFonts w:ascii="Times New Roman" w:hAnsi="Times New Roman"/>
                          <w:sz w:val="16"/>
                        </w:rPr>
                        <w:t xml:space="preserve">See also </w:t>
                      </w:r>
                      <w:r>
                        <w:rPr>
                          <w:rFonts w:ascii="Times New Roman" w:hAnsi="Times New Roman"/>
                          <w:i/>
                          <w:sz w:val="16"/>
                        </w:rPr>
                        <w:t xml:space="preserve">Establishing U.S. status for purposes of chapter 3 and chapter 4 withholding, </w:t>
                      </w:r>
                      <w:r>
                        <w:rPr>
                          <w:rFonts w:ascii="Times New Roman" w:hAnsi="Times New Roman"/>
                          <w:sz w:val="16"/>
                        </w:rPr>
                        <w:t xml:space="preserve">earlier. </w:t>
                      </w:r>
                    </w:p>
                    <w:p>
                      <w:pPr>
                        <w:pStyle w:val="TextBody"/>
                        <w:bidi w:val="0"/>
                        <w:spacing w:before="120" w:after="0"/>
                        <w:jc w:val="left"/>
                        <w:rPr>
                          <w:rFonts w:ascii="Times New Roman" w:hAnsi="Times New Roman"/>
                          <w:b/>
                          <w:sz w:val="24"/>
                        </w:rPr>
                      </w:pPr>
                      <w:r>
                        <w:rPr>
                          <w:rFonts w:ascii="Times New Roman" w:hAnsi="Times New Roman"/>
                          <w:b/>
                          <w:sz w:val="24"/>
                        </w:rPr>
                        <w:t xml:space="preserve">What Is FATCA Reporting? </w:t>
                      </w:r>
                    </w:p>
                    <w:p>
                      <w:pPr>
                        <w:pStyle w:val="TextBody"/>
                        <w:bidi w:val="0"/>
                        <w:spacing w:before="120" w:after="0"/>
                        <w:jc w:val="left"/>
                        <w:rPr>
                          <w:rFonts w:ascii="Times New Roman" w:hAnsi="Times New Roman"/>
                          <w:sz w:val="16"/>
                        </w:rPr>
                      </w:pPr>
                      <w:r>
                        <w:rPr>
                          <w:rFonts w:ascii="Times New Roman" w:hAnsi="Times New Roman"/>
                          <w:sz w:val="16"/>
                        </w:rPr>
                        <w:t xml:space="preserve">The Foreign Account Tax Compliance Act (FATCA) requires a participating foreign financial institution to report all U.S. account holders that are specified U.S. persons. Certain payees are exempt from FATCA reporting. See </w:t>
                      </w:r>
                      <w:r>
                        <w:rPr>
                          <w:rFonts w:ascii="Times New Roman" w:hAnsi="Times New Roman"/>
                          <w:i/>
                          <w:sz w:val="16"/>
                        </w:rPr>
                        <w:t>Exemption from FATCA reporting code</w:t>
                      </w:r>
                      <w:r>
                        <w:rPr>
                          <w:rFonts w:ascii="Times New Roman" w:hAnsi="Times New Roman"/>
                          <w:sz w:val="16"/>
                        </w:rPr>
                        <w:t xml:space="preserve">, later, and the Instructions for the Requester of Form W-9 for more information. </w:t>
                      </w:r>
                    </w:p>
                    <w:p>
                      <w:pPr>
                        <w:pStyle w:val="TextBody"/>
                        <w:bidi w:val="0"/>
                        <w:spacing w:before="120" w:after="0"/>
                        <w:jc w:val="left"/>
                        <w:rPr>
                          <w:rFonts w:ascii="Times New Roman" w:hAnsi="Times New Roman"/>
                          <w:b/>
                          <w:sz w:val="24"/>
                        </w:rPr>
                      </w:pPr>
                      <w:r>
                        <w:rPr>
                          <w:rFonts w:ascii="Times New Roman" w:hAnsi="Times New Roman"/>
                          <w:b/>
                          <w:sz w:val="24"/>
                        </w:rPr>
                        <w:t xml:space="preserve">Updating Your Information </w:t>
                      </w:r>
                    </w:p>
                    <w:p>
                      <w:pPr>
                        <w:pStyle w:val="TextBody"/>
                        <w:bidi w:val="0"/>
                        <w:spacing w:before="120" w:after="0"/>
                        <w:jc w:val="left"/>
                        <w:rPr>
                          <w:rFonts w:ascii="Times New Roman" w:hAnsi="Times New Roman"/>
                          <w:sz w:val="16"/>
                        </w:rPr>
                      </w:pPr>
                      <w:r>
                        <w:rPr>
                          <w:rFonts w:ascii="Times New Roman" w:hAnsi="Times New Roman"/>
                          <w:sz w:val="16"/>
                        </w:rPr>
                        <w:t xml:space="preserve">You must provide updated information to any person to whom you claimed to be an exempt payee if you are no longer an exempt payee and anticipate receiving reportable payments in the future from this person. For example, you may need to provide updated information if you are a C corporation that elects to be an S corporation, or if you are no longer tax exempt. In addition, you must furnish a new Form W-9 if the name or TIN changes for the account, for example, if the grantor of a grantor trust dies. </w:t>
                      </w:r>
                    </w:p>
                    <w:p>
                      <w:pPr>
                        <w:pStyle w:val="TextBody"/>
                        <w:bidi w:val="0"/>
                        <w:spacing w:before="120" w:after="0"/>
                        <w:jc w:val="left"/>
                        <w:rPr>
                          <w:rFonts w:ascii="Times New Roman" w:hAnsi="Times New Roman"/>
                          <w:b/>
                          <w:sz w:val="24"/>
                        </w:rPr>
                      </w:pPr>
                      <w:r>
                        <w:rPr>
                          <w:rFonts w:ascii="Times New Roman" w:hAnsi="Times New Roman"/>
                          <w:b/>
                          <w:sz w:val="24"/>
                        </w:rPr>
                        <w:t xml:space="preserve">Penalties </w:t>
                      </w:r>
                    </w:p>
                    <w:p>
                      <w:pPr>
                        <w:pStyle w:val="TextBody"/>
                        <w:bidi w:val="0"/>
                        <w:spacing w:before="120" w:after="0"/>
                        <w:jc w:val="left"/>
                        <w:rPr>
                          <w:rFonts w:ascii="Times New Roman" w:hAnsi="Times New Roman"/>
                          <w:sz w:val="16"/>
                        </w:rPr>
                      </w:pPr>
                      <w:r>
                        <w:rPr>
                          <w:rFonts w:ascii="Times New Roman" w:hAnsi="Times New Roman"/>
                          <w:b/>
                          <w:sz w:val="16"/>
                        </w:rPr>
                        <w:t>Failure to furnish TIN.</w:t>
                      </w:r>
                      <w:r>
                        <w:rPr>
                          <w:rFonts w:ascii="Times New Roman" w:hAnsi="Times New Roman"/>
                          <w:sz w:val="16"/>
                        </w:rPr>
                        <w:t xml:space="preserve"> If you fail to furnish your correct TIN to a requester, you are subject to a penalty of $50 for each such failure unless your failure is due to reasonable cause and not to willful neglect. </w:t>
                      </w:r>
                    </w:p>
                    <w:p>
                      <w:pPr>
                        <w:pStyle w:val="TextBody"/>
                        <w:bidi w:val="0"/>
                        <w:spacing w:before="40" w:after="0"/>
                        <w:jc w:val="left"/>
                        <w:rPr>
                          <w:rFonts w:ascii="Times New Roman" w:hAnsi="Times New Roman"/>
                          <w:sz w:val="16"/>
                        </w:rPr>
                      </w:pPr>
                      <w:r>
                        <w:rPr>
                          <w:rFonts w:ascii="Times New Roman" w:hAnsi="Times New Roman"/>
                          <w:b/>
                          <w:sz w:val="16"/>
                        </w:rPr>
                        <w:t>Civil penalty for false information with respect to withholding.</w:t>
                      </w:r>
                      <w:r>
                        <w:rPr>
                          <w:rFonts w:ascii="Times New Roman" w:hAnsi="Times New Roman"/>
                          <w:sz w:val="16"/>
                        </w:rPr>
                        <w:t xml:space="preserve"> If you make a false statement with no reasonable basis that results in no backup withholding, you are subject to a $500 penalty. </w:t>
                      </w:r>
                    </w:p>
                    <w:p>
                      <w:pPr>
                        <w:pStyle w:val="TextBody"/>
                        <w:bidi w:val="0"/>
                        <w:spacing w:before="40" w:after="0"/>
                        <w:jc w:val="left"/>
                        <w:rPr>
                          <w:rFonts w:ascii="Times New Roman" w:hAnsi="Times New Roman"/>
                          <w:sz w:val="16"/>
                        </w:rPr>
                      </w:pPr>
                      <w:r>
                        <w:rPr>
                          <w:rFonts w:ascii="Times New Roman" w:hAnsi="Times New Roman"/>
                          <w:b/>
                          <w:sz w:val="16"/>
                        </w:rPr>
                        <w:t>Criminal penalty for falsifying information.</w:t>
                      </w:r>
                      <w:r>
                        <w:rPr>
                          <w:rFonts w:ascii="Times New Roman" w:hAnsi="Times New Roman"/>
                          <w:sz w:val="16"/>
                        </w:rPr>
                        <w:t xml:space="preserve"> Willfully falsifying certifications or affirmations may subject you to criminal penalties including fines and/or imprisonment. </w:t>
                      </w:r>
                    </w:p>
                    <w:p>
                      <w:pPr>
                        <w:pStyle w:val="TextBody"/>
                        <w:bidi w:val="0"/>
                        <w:spacing w:before="40" w:after="0"/>
                        <w:jc w:val="left"/>
                        <w:rPr>
                          <w:rFonts w:ascii="Times New Roman" w:hAnsi="Times New Roman"/>
                          <w:sz w:val="16"/>
                        </w:rPr>
                      </w:pPr>
                      <w:r>
                        <w:rPr>
                          <w:rFonts w:ascii="Times New Roman" w:hAnsi="Times New Roman"/>
                          <w:b/>
                          <w:sz w:val="16"/>
                        </w:rPr>
                        <w:t>Misuse of TINs.</w:t>
                      </w:r>
                      <w:r>
                        <w:rPr>
                          <w:rFonts w:ascii="Times New Roman" w:hAnsi="Times New Roman"/>
                          <w:sz w:val="16"/>
                        </w:rPr>
                        <w:t xml:space="preserve"> If the requester discloses or uses TINs in violation of federal law, the requester may be subject to civil and criminal penalties. </w:t>
                      </w:r>
                    </w:p>
                    <w:p>
                      <w:pPr>
                        <w:pStyle w:val="TextBody"/>
                        <w:bidi w:val="0"/>
                        <w:spacing w:before="120" w:after="0"/>
                        <w:jc w:val="left"/>
                        <w:rPr>
                          <w:rFonts w:ascii="Times New Roman" w:hAnsi="Times New Roman"/>
                          <w:b/>
                          <w:sz w:val="28"/>
                        </w:rPr>
                      </w:pPr>
                      <w:r>
                        <w:rPr>
                          <w:rFonts w:ascii="Times New Roman" w:hAnsi="Times New Roman"/>
                          <w:b/>
                          <w:sz w:val="28"/>
                        </w:rPr>
                        <w:t xml:space="preserve">Specific Instructions </w:t>
                      </w:r>
                    </w:p>
                    <w:p>
                      <w:pPr>
                        <w:pStyle w:val="TextBody"/>
                        <w:bidi w:val="0"/>
                        <w:spacing w:before="120" w:after="0"/>
                        <w:jc w:val="left"/>
                        <w:rPr>
                          <w:rFonts w:ascii="Times New Roman" w:hAnsi="Times New Roman"/>
                          <w:b/>
                          <w:sz w:val="22"/>
                        </w:rPr>
                      </w:pPr>
                      <w:r>
                        <w:rPr>
                          <w:rFonts w:ascii="Times New Roman" w:hAnsi="Times New Roman"/>
                          <w:b/>
                          <w:sz w:val="22"/>
                        </w:rPr>
                        <w:t xml:space="preserve">Line 1 </w:t>
                      </w:r>
                    </w:p>
                    <w:p>
                      <w:pPr>
                        <w:pStyle w:val="TextBody"/>
                        <w:bidi w:val="0"/>
                        <w:spacing w:before="120" w:after="0"/>
                        <w:jc w:val="left"/>
                        <w:rPr>
                          <w:rFonts w:ascii="Times New Roman" w:hAnsi="Times New Roman"/>
                          <w:sz w:val="16"/>
                        </w:rPr>
                      </w:pPr>
                      <w:r>
                        <w:rPr>
                          <w:rFonts w:ascii="Times New Roman" w:hAnsi="Times New Roman"/>
                          <w:sz w:val="16"/>
                        </w:rPr>
                        <w:t xml:space="preserve">You must enter one of the following on this line; </w:t>
                      </w:r>
                      <w:r>
                        <w:rPr>
                          <w:rFonts w:ascii="Times New Roman" w:hAnsi="Times New Roman"/>
                          <w:b/>
                          <w:sz w:val="16"/>
                        </w:rPr>
                        <w:t>do not</w:t>
                      </w:r>
                      <w:r>
                        <w:rPr>
                          <w:rFonts w:ascii="Times New Roman" w:hAnsi="Times New Roman"/>
                          <w:sz w:val="16"/>
                        </w:rPr>
                        <w:t xml:space="preserve"> leave this line blank. The name should match the name on your tax return. </w:t>
                      </w:r>
                    </w:p>
                    <w:p>
                      <w:pPr>
                        <w:pStyle w:val="TextBody"/>
                        <w:bidi w:val="0"/>
                        <w:spacing w:before="40" w:after="0"/>
                        <w:jc w:val="left"/>
                        <w:rPr>
                          <w:rFonts w:ascii="Times New Roman" w:hAnsi="Times New Roman"/>
                          <w:sz w:val="16"/>
                        </w:rPr>
                      </w:pPr>
                      <w:r>
                        <w:rPr>
                          <w:rFonts w:ascii="Times New Roman" w:hAnsi="Times New Roman"/>
                          <w:sz w:val="16"/>
                        </w:rPr>
                        <w:t>If this Form W-9 is for a joint account (other than an account maintained by a foreign financial institution (FFI)), list first, and then circle, the name of the person or entity whose number you entered in Part I of Form W-9. If you are providing Form W-9 to an FFI to document a joint account, each holder of the account that is a U.S. person must provide a Form W-9.</w:t>
                      </w:r>
                    </w:p>
                    <w:p>
                      <w:pPr>
                        <w:pStyle w:val="TextBody"/>
                        <w:bidi w:val="0"/>
                        <w:spacing w:before="40" w:after="0"/>
                        <w:jc w:val="left"/>
                        <w:rPr>
                          <w:rFonts w:ascii="Times New Roman" w:hAnsi="Times New Roman"/>
                          <w:sz w:val="16"/>
                        </w:rPr>
                      </w:pPr>
                      <w:r>
                        <w:rPr>
                          <w:rFonts w:ascii="Times New Roman" w:hAnsi="Times New Roman"/>
                          <w:sz w:val="16"/>
                        </w:rPr>
                        <w:t> </w:t>
                      </w:r>
                      <w:r>
                        <w:rPr>
                          <w:rFonts w:ascii="Times New Roman" w:hAnsi="Times New Roman"/>
                          <w:b/>
                          <w:sz w:val="16"/>
                        </w:rPr>
                        <w:t>Individual.</w:t>
                      </w:r>
                      <w:r>
                        <w:rPr>
                          <w:rFonts w:ascii="Times New Roman" w:hAnsi="Times New Roman"/>
                          <w:sz w:val="16"/>
                        </w:rPr>
                        <w:t xml:space="preserve"> Generally, enter the name shown on your tax return. If you have changed your last name without informing the Social Security Administration (SSA) of the name change, enter your first name, the last name as shown on your social security card, and your new last name. </w:t>
                      </w:r>
                    </w:p>
                    <w:p>
                      <w:pPr>
                        <w:pStyle w:val="TextBody"/>
                        <w:bidi w:val="0"/>
                        <w:spacing w:before="40" w:after="0"/>
                        <w:jc w:val="left"/>
                        <w:rPr>
                          <w:rFonts w:ascii="Times New Roman" w:hAnsi="Times New Roman"/>
                          <w:sz w:val="16"/>
                        </w:rPr>
                      </w:pPr>
                      <w:r>
                        <w:rPr>
                          <w:rFonts w:ascii="Times New Roman" w:hAnsi="Times New Roman"/>
                          <w:b/>
                          <w:sz w:val="16"/>
                        </w:rPr>
                        <w:t>Note for ITIN applicant:</w:t>
                      </w:r>
                      <w:r>
                        <w:rPr>
                          <w:rFonts w:ascii="Times New Roman" w:hAnsi="Times New Roman"/>
                          <w:sz w:val="16"/>
                        </w:rPr>
                        <w:t xml:space="preserve"> Enter your individual name as it was entered on your Form W-7 application, line 1a. This should also be the same as the name you entered on the Form 1040 you filed with your application. </w:t>
                      </w:r>
                    </w:p>
                    <w:p>
                      <w:pPr>
                        <w:pStyle w:val="TextBody"/>
                        <w:bidi w:val="0"/>
                        <w:spacing w:before="40" w:after="0"/>
                        <w:jc w:val="left"/>
                        <w:rPr>
                          <w:rFonts w:ascii="Times New Roman" w:hAnsi="Times New Roman"/>
                          <w:sz w:val="16"/>
                        </w:rPr>
                      </w:pPr>
                      <w:r>
                        <w:rPr>
                          <w:rFonts w:ascii="Times New Roman" w:hAnsi="Times New Roman"/>
                          <w:sz w:val="16"/>
                        </w:rPr>
                        <w:t> </w:t>
                      </w:r>
                      <w:r>
                        <w:rPr>
                          <w:rFonts w:ascii="Times New Roman" w:hAnsi="Times New Roman"/>
                          <w:b/>
                          <w:sz w:val="16"/>
                        </w:rPr>
                        <w:t>Sole proprietor.</w:t>
                      </w:r>
                      <w:r>
                        <w:rPr>
                          <w:rFonts w:ascii="Times New Roman" w:hAnsi="Times New Roman"/>
                          <w:sz w:val="16"/>
                        </w:rPr>
                        <w:t xml:space="preserve"> Enter your individual name as shown on your Form 1040 on line 1. Enter your business, trade, or “doing business as” (DBA) name on line 2. </w:t>
                      </w:r>
                    </w:p>
                    <w:p>
                      <w:pPr>
                        <w:pStyle w:val="TextBody"/>
                        <w:bidi w:val="0"/>
                        <w:spacing w:before="40" w:after="0"/>
                        <w:jc w:val="left"/>
                        <w:rPr>
                          <w:rFonts w:ascii="Times New Roman" w:hAnsi="Times New Roman"/>
                          <w:sz w:val="16"/>
                        </w:rPr>
                      </w:pPr>
                      <w:r>
                        <w:rPr>
                          <w:rFonts w:ascii="Times New Roman" w:hAnsi="Times New Roman"/>
                          <w:sz w:val="16"/>
                        </w:rPr>
                        <w:t> </w:t>
                      </w:r>
                      <w:r>
                        <w:rPr>
                          <w:rFonts w:ascii="Times New Roman" w:hAnsi="Times New Roman"/>
                          <w:b/>
                          <w:sz w:val="16"/>
                        </w:rPr>
                        <w:t>Partnership, C corporation, S corporation, or LLC, other than a disregarded entity.</w:t>
                      </w:r>
                      <w:r>
                        <w:rPr>
                          <w:rFonts w:ascii="Times New Roman" w:hAnsi="Times New Roman"/>
                          <w:sz w:val="16"/>
                        </w:rPr>
                        <w:t xml:space="preserve"> Enter the entity’s name as shown on the entity’s tax return on line 1 and any business, trade, or DBA name on line 2. </w:t>
                      </w:r>
                    </w:p>
                  </w:txbxContent>
                </v:textbox>
                <w10:wrap type="square" side="right"/>
              </v:rect>
            </w:pict>
          </mc:Fallback>
        </mc:AlternateConten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3175000" cy="9972040"/>
                <wp:effectExtent l="0" t="0" r="0" b="0"/>
                <wp:wrapSquare wrapText="right"/>
                <wp:docPr id="10" name="Frame6"/>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p>
                            <w:pPr>
                              <w:pStyle w:val="TextBody"/>
                              <w:bidi w:val="0"/>
                              <w:spacing w:before="0" w:after="0"/>
                              <w:jc w:val="left"/>
                              <w:rPr>
                                <w:rFonts w:ascii="Times New Roman" w:hAnsi="Times New Roman"/>
                                <w:sz w:val="16"/>
                              </w:rPr>
                            </w:pPr>
                            <w:r>
                              <w:rPr>
                                <w:rFonts w:ascii="Times New Roman" w:hAnsi="Times New Roman"/>
                                <w:sz w:val="16"/>
                              </w:rPr>
                              <w:t> </w:t>
                            </w:r>
                            <w:r>
                              <w:rPr>
                                <w:rFonts w:ascii="Times New Roman" w:hAnsi="Times New Roman"/>
                                <w:b/>
                                <w:sz w:val="16"/>
                              </w:rPr>
                              <w:t>Other entities.</w:t>
                            </w:r>
                            <w:r>
                              <w:rPr>
                                <w:rFonts w:ascii="Times New Roman" w:hAnsi="Times New Roman"/>
                                <w:sz w:val="16"/>
                              </w:rPr>
                              <w:t xml:space="preserve"> Enter your name as shown on required U.S. federal tax documents on line 1. This name should match the name shown on the charter or other legal document creating the entity. Enter any business, trade, or DBA name on line 2. </w:t>
                            </w:r>
                          </w:p>
                          <w:p>
                            <w:pPr>
                              <w:pStyle w:val="TextBody"/>
                              <w:bidi w:val="0"/>
                              <w:spacing w:before="40" w:after="0"/>
                              <w:jc w:val="left"/>
                              <w:rPr>
                                <w:rFonts w:ascii="Times New Roman" w:hAnsi="Times New Roman"/>
                                <w:sz w:val="16"/>
                              </w:rPr>
                            </w:pPr>
                            <w:r>
                              <w:rPr>
                                <w:rFonts w:ascii="Times New Roman" w:hAnsi="Times New Roman"/>
                                <w:sz w:val="16"/>
                              </w:rPr>
                              <w:t> </w:t>
                            </w:r>
                            <w:r>
                              <w:rPr>
                                <w:rFonts w:ascii="Times New Roman" w:hAnsi="Times New Roman"/>
                                <w:b/>
                                <w:sz w:val="16"/>
                              </w:rPr>
                              <w:t>Disregarded entity.</w:t>
                            </w:r>
                            <w:r>
                              <w:rPr>
                                <w:rFonts w:ascii="Times New Roman" w:hAnsi="Times New Roman"/>
                                <w:sz w:val="16"/>
                              </w:rPr>
                              <w:t xml:space="preserve"> In general, a business entity that has a single owner, including an LLC, and is not a corporation, is disregarded as an entity separate from its owner (a disregarded entity). See Regulations section 301.7701-2(c)(2). A disregarded entity should check the appropriate box for the tax classification of its owner. Enter the owner’s name on line 1. The name of the owner entered on line 1 should never be a disregarded entity. The name on line 1 should be the name shown on the income tax return on which the income should be reported. For example, if a foreign LLC that is treated as a disregarded entity for U.S. federal tax purposes has a single owner that is a U.S. person, the U.S. owner’s name is required to be provided on line 1. If the direct owner of the entity is also a disregarded entity, enter the first owner that is not disregarded for federal tax purposes. Enter the disregarded entity’s name on line 2. If the owner of the disregarded entity is a foreign person, the owner must complete an appropriate Form W-8 instead of a Form W-9. This is the case even if the foreign person has a U.S. TIN. </w:t>
                            </w:r>
                          </w:p>
                          <w:p>
                            <w:pPr>
                              <w:pStyle w:val="TextBody"/>
                              <w:bidi w:val="0"/>
                              <w:spacing w:before="120" w:after="0"/>
                              <w:jc w:val="left"/>
                              <w:rPr>
                                <w:rFonts w:ascii="Times New Roman" w:hAnsi="Times New Roman"/>
                                <w:b/>
                                <w:sz w:val="22"/>
                              </w:rPr>
                            </w:pPr>
                            <w:r>
                              <w:rPr>
                                <w:rFonts w:ascii="Times New Roman" w:hAnsi="Times New Roman"/>
                                <w:b/>
                                <w:sz w:val="22"/>
                              </w:rPr>
                              <w:t xml:space="preserve">Line 2 </w:t>
                            </w:r>
                          </w:p>
                          <w:p>
                            <w:pPr>
                              <w:pStyle w:val="TextBody"/>
                              <w:bidi w:val="0"/>
                              <w:spacing w:before="40" w:after="0"/>
                              <w:jc w:val="left"/>
                              <w:rPr>
                                <w:rFonts w:ascii="Times New Roman" w:hAnsi="Times New Roman"/>
                                <w:sz w:val="16"/>
                              </w:rPr>
                            </w:pPr>
                            <w:r>
                              <w:rPr>
                                <w:rFonts w:ascii="Times New Roman" w:hAnsi="Times New Roman"/>
                                <w:sz w:val="16"/>
                              </w:rPr>
                              <w:t xml:space="preserve">If you have a business name, trade name, DBA name, or disregarded entity name, enter it on line 2. </w:t>
                            </w:r>
                          </w:p>
                          <w:p>
                            <w:pPr>
                              <w:pStyle w:val="TextBody"/>
                              <w:bidi w:val="0"/>
                              <w:spacing w:before="120" w:after="0"/>
                              <w:jc w:val="left"/>
                              <w:rPr>
                                <w:rFonts w:ascii="Times New Roman" w:hAnsi="Times New Roman"/>
                                <w:b/>
                                <w:sz w:val="22"/>
                              </w:rPr>
                            </w:pPr>
                            <w:r>
                              <w:rPr>
                                <w:rFonts w:ascii="Times New Roman" w:hAnsi="Times New Roman"/>
                                <w:b/>
                                <w:sz w:val="22"/>
                              </w:rPr>
                              <w:t xml:space="preserve">Line 3a </w:t>
                            </w:r>
                          </w:p>
                          <w:p>
                            <w:pPr>
                              <w:pStyle w:val="TextBody"/>
                              <w:bidi w:val="0"/>
                              <w:spacing w:before="40" w:after="0"/>
                              <w:jc w:val="left"/>
                              <w:rPr>
                                <w:rFonts w:ascii="Times New Roman" w:hAnsi="Times New Roman"/>
                                <w:sz w:val="16"/>
                              </w:rPr>
                            </w:pPr>
                            <w:r>
                              <w:rPr>
                                <w:rFonts w:ascii="Times New Roman" w:hAnsi="Times New Roman"/>
                                <w:sz w:val="16"/>
                              </w:rPr>
                              <w:t xml:space="preserve">Check the appropriate box on line 3a for the U.S. federal tax classification of the person whose name is entered on line 1. Check only one box on line 3a.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
                              <w:gridCol w:w="49"/>
                              <w:gridCol w:w="2436"/>
                              <w:gridCol w:w="49"/>
                              <w:gridCol w:w="2437"/>
                            </w:tblGrid>
                            <w:tr>
                              <w:trPr/>
                              <w:tc>
                                <w:tcPr>
                                  <w:tcW w:w="29" w:type="dxa"/>
                                  <w:tcBorders/>
                                  <w:vAlign w:val="center"/>
                                </w:tcPr>
                                <w:p>
                                  <w:pPr>
                                    <w:pStyle w:val="TableContents"/>
                                    <w:bidi w:val="0"/>
                                    <w:spacing w:before="0" w:after="283"/>
                                    <w:jc w:val="left"/>
                                    <w:rPr>
                                      <w:sz w:val="4"/>
                                      <w:szCs w:val="4"/>
                                    </w:rPr>
                                  </w:pPr>
                                  <w:r>
                                    <w:rPr>
                                      <w:sz w:val="4"/>
                                      <w:szCs w:val="4"/>
                                    </w:rPr>
                                  </w:r>
                                </w:p>
                              </w:tc>
                              <w:tc>
                                <w:tcPr>
                                  <w:tcW w:w="49" w:type="dxa"/>
                                  <w:tcBorders/>
                                  <w:vAlign w:val="bottom"/>
                                </w:tcPr>
                                <w:p>
                                  <w:pPr>
                                    <w:pStyle w:val="TableContents"/>
                                    <w:bidi w:val="0"/>
                                    <w:spacing w:before="0" w:after="283"/>
                                    <w:jc w:val="left"/>
                                    <w:rPr>
                                      <w:sz w:val="4"/>
                                      <w:szCs w:val="4"/>
                                    </w:rPr>
                                  </w:pPr>
                                  <w:r>
                                    <w:rPr>
                                      <w:sz w:val="4"/>
                                      <w:szCs w:val="4"/>
                                    </w:rPr>
                                  </w:r>
                                </w:p>
                              </w:tc>
                              <w:tc>
                                <w:tcPr>
                                  <w:tcW w:w="2436" w:type="dxa"/>
                                  <w:tcBorders/>
                                  <w:vAlign w:val="center"/>
                                </w:tcPr>
                                <w:p>
                                  <w:pPr>
                                    <w:pStyle w:val="TableContents"/>
                                    <w:bidi w:val="0"/>
                                    <w:spacing w:before="0" w:after="283"/>
                                    <w:jc w:val="left"/>
                                    <w:rPr>
                                      <w:sz w:val="4"/>
                                      <w:szCs w:val="4"/>
                                    </w:rPr>
                                  </w:pPr>
                                  <w:r>
                                    <w:rPr>
                                      <w:sz w:val="4"/>
                                      <w:szCs w:val="4"/>
                                    </w:rPr>
                                  </w:r>
                                </w:p>
                              </w:tc>
                              <w:tc>
                                <w:tcPr>
                                  <w:tcW w:w="49" w:type="dxa"/>
                                  <w:tcBorders/>
                                  <w:vAlign w:val="bottom"/>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r>
                            <w:tr>
                              <w:trPr/>
                              <w:tc>
                                <w:tcPr>
                                  <w:tcW w:w="29" w:type="dxa"/>
                                  <w:tcBorders/>
                                  <w:vAlign w:val="bottom"/>
                                </w:tcPr>
                                <w:p>
                                  <w:pPr>
                                    <w:pStyle w:val="TableContents"/>
                                    <w:bidi w:val="0"/>
                                    <w:spacing w:before="0" w:after="283"/>
                                    <w:jc w:val="left"/>
                                    <w:rPr/>
                                  </w:pPr>
                                  <w:r>
                                    <w:rPr/>
                                    <w:t> </w:t>
                                  </w:r>
                                </w:p>
                              </w:tc>
                              <w:tc>
                                <w:tcPr>
                                  <w:tcW w:w="4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36"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b/>
                                    </w:rPr>
                                  </w:pPr>
                                  <w:r>
                                    <w:rPr>
                                      <w:b/>
                                    </w:rPr>
                                    <w:t>IF the entity/individual on line 1 is</w:t>
                                    <w:br/>
                                    <w:t>a(n) . . .</w:t>
                                  </w:r>
                                </w:p>
                              </w:tc>
                              <w:tc>
                                <w:tcPr>
                                  <w:tcW w:w="4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37"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b/>
                                    </w:rPr>
                                  </w:pPr>
                                  <w:r>
                                    <w:rPr>
                                      <w:b/>
                                    </w:rPr>
                                    <w:t>THEN check the box for . . .</w:t>
                                  </w:r>
                                </w:p>
                              </w:tc>
                            </w:tr>
                            <w:tr>
                              <w:trPr/>
                              <w:tc>
                                <w:tcPr>
                                  <w:tcW w:w="29" w:type="dxa"/>
                                  <w:tcBorders/>
                                </w:tcPr>
                                <w:p>
                                  <w:pPr>
                                    <w:pStyle w:val="TableContents"/>
                                    <w:bidi w:val="0"/>
                                    <w:spacing w:before="0" w:after="283"/>
                                    <w:jc w:val="left"/>
                                    <w:rPr>
                                      <w:sz w:val="4"/>
                                      <w:szCs w:val="4"/>
                                    </w:rPr>
                                  </w:pPr>
                                  <w:r>
                                    <w:rPr>
                                      <w:sz w:val="4"/>
                                      <w:szCs w:val="4"/>
                                    </w:rPr>
                                  </w:r>
                                </w:p>
                              </w:tc>
                              <w:tc>
                                <w:tcPr>
                                  <w:tcW w:w="4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3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Corporation</w:t>
                                  </w:r>
                                </w:p>
                              </w:tc>
                              <w:tc>
                                <w:tcPr>
                                  <w:tcW w:w="4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37"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Corporation.</w:t>
                                  </w:r>
                                </w:p>
                              </w:tc>
                            </w:tr>
                            <w:tr>
                              <w:trPr/>
                              <w:tc>
                                <w:tcPr>
                                  <w:tcW w:w="29" w:type="dxa"/>
                                  <w:tcBorders/>
                                </w:tcPr>
                                <w:p>
                                  <w:pPr>
                                    <w:pStyle w:val="TableContents"/>
                                    <w:bidi w:val="0"/>
                                    <w:spacing w:before="0" w:after="283"/>
                                    <w:jc w:val="left"/>
                                    <w:rPr>
                                      <w:sz w:val="4"/>
                                      <w:szCs w:val="4"/>
                                    </w:rPr>
                                  </w:pPr>
                                  <w:r>
                                    <w:rPr>
                                      <w:sz w:val="4"/>
                                      <w:szCs w:val="4"/>
                                    </w:rPr>
                                  </w:r>
                                </w:p>
                              </w:tc>
                              <w:tc>
                                <w:tcPr>
                                  <w:tcW w:w="4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3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0"/>
                                    <w:jc w:val="left"/>
                                    <w:rPr>
                                      <w:rFonts w:ascii="Times New Roman" w:hAnsi="Times New Roman"/>
                                      <w:sz w:val="16"/>
                                    </w:rPr>
                                  </w:pPr>
                                  <w:r>
                                    <w:rPr>
                                      <w:rFonts w:ascii="Times New Roman" w:hAnsi="Times New Roman"/>
                                      <w:sz w:val="16"/>
                                    </w:rPr>
                                    <w:t> Individual or</w:t>
                                  </w:r>
                                </w:p>
                                <w:p>
                                  <w:pPr>
                                    <w:pStyle w:val="TableContents"/>
                                    <w:bidi w:val="0"/>
                                    <w:spacing w:before="0" w:after="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 Sole proprietorship</w:t>
                                  </w:r>
                                </w:p>
                              </w:tc>
                              <w:tc>
                                <w:tcPr>
                                  <w:tcW w:w="4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37"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Individual/sole proprietor.</w:t>
                                  </w:r>
                                </w:p>
                              </w:tc>
                            </w:tr>
                            <w:tr>
                              <w:trPr/>
                              <w:tc>
                                <w:tcPr>
                                  <w:tcW w:w="29" w:type="dxa"/>
                                  <w:tcBorders/>
                                </w:tcPr>
                                <w:p>
                                  <w:pPr>
                                    <w:pStyle w:val="TableContents"/>
                                    <w:bidi w:val="0"/>
                                    <w:spacing w:before="0" w:after="283"/>
                                    <w:jc w:val="left"/>
                                    <w:rPr>
                                      <w:sz w:val="4"/>
                                      <w:szCs w:val="4"/>
                                    </w:rPr>
                                  </w:pPr>
                                  <w:r>
                                    <w:rPr>
                                      <w:sz w:val="4"/>
                                      <w:szCs w:val="4"/>
                                    </w:rPr>
                                  </w:r>
                                </w:p>
                              </w:tc>
                              <w:tc>
                                <w:tcPr>
                                  <w:tcW w:w="4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3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0"/>
                                    <w:jc w:val="left"/>
                                    <w:rPr>
                                      <w:rFonts w:ascii="Times New Roman" w:hAnsi="Times New Roman"/>
                                      <w:sz w:val="16"/>
                                    </w:rPr>
                                  </w:pPr>
                                  <w:r>
                                    <w:rPr>
                                      <w:rFonts w:ascii="Times New Roman" w:hAnsi="Times New Roman"/>
                                      <w:sz w:val="16"/>
                                    </w:rPr>
                                    <w:t> LLC classified as a partnership for U.S. federal tax purposes or</w:t>
                                  </w:r>
                                </w:p>
                                <w:p>
                                  <w:pPr>
                                    <w:pStyle w:val="TableContents"/>
                                    <w:bidi w:val="0"/>
                                    <w:spacing w:before="0" w:after="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 LLC that has filed Form 8832 or 2553 electing to be taxed as a corporation</w:t>
                                  </w:r>
                                </w:p>
                              </w:tc>
                              <w:tc>
                                <w:tcPr>
                                  <w:tcW w:w="4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37"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rFonts w:ascii="Times New Roman" w:hAnsi="Times New Roman"/>
                                      <w:sz w:val="16"/>
                                    </w:rPr>
                                  </w:pPr>
                                  <w:r>
                                    <w:rPr>
                                      <w:rFonts w:ascii="Times New Roman" w:hAnsi="Times New Roman"/>
                                      <w:sz w:val="16"/>
                                    </w:rPr>
                                    <w:t>Limited liability company and enter the appropriate tax classification:</w:t>
                                  </w:r>
                                </w:p>
                                <w:p>
                                  <w:pPr>
                                    <w:pStyle w:val="TableContents"/>
                                    <w:bidi w:val="0"/>
                                    <w:spacing w:before="0" w:after="0"/>
                                    <w:jc w:val="left"/>
                                    <w:rPr>
                                      <w:rFonts w:ascii="Times New Roman" w:hAnsi="Times New Roman"/>
                                      <w:sz w:val="16"/>
                                    </w:rPr>
                                  </w:pPr>
                                  <w:r>
                                    <w:rPr>
                                      <w:rFonts w:ascii="Times New Roman" w:hAnsi="Times New Roman"/>
                                      <w:sz w:val="16"/>
                                    </w:rPr>
                                    <w:t>P = Partnership,</w:t>
                                  </w:r>
                                </w:p>
                                <w:p>
                                  <w:pPr>
                                    <w:pStyle w:val="TableContents"/>
                                    <w:bidi w:val="0"/>
                                    <w:spacing w:before="0" w:after="0"/>
                                    <w:jc w:val="left"/>
                                    <w:rPr>
                                      <w:rFonts w:ascii="Times New Roman" w:hAnsi="Times New Roman"/>
                                      <w:sz w:val="16"/>
                                    </w:rPr>
                                  </w:pPr>
                                  <w:r>
                                    <w:rPr>
                                      <w:rFonts w:ascii="Times New Roman" w:hAnsi="Times New Roman"/>
                                      <w:sz w:val="16"/>
                                    </w:rPr>
                                    <w:t>C = C corporation, or</w:t>
                                  </w:r>
                                </w:p>
                                <w:p>
                                  <w:pPr>
                                    <w:pStyle w:val="TableContents"/>
                                    <w:bidi w:val="0"/>
                                    <w:spacing w:before="0" w:after="20"/>
                                    <w:jc w:val="left"/>
                                    <w:rPr>
                                      <w:rFonts w:ascii="Times New Roman" w:hAnsi="Times New Roman"/>
                                      <w:sz w:val="16"/>
                                    </w:rPr>
                                  </w:pPr>
                                  <w:r>
                                    <w:rPr>
                                      <w:rFonts w:ascii="Times New Roman" w:hAnsi="Times New Roman"/>
                                      <w:sz w:val="16"/>
                                    </w:rPr>
                                    <w:t>S = S corporation.</w:t>
                                  </w:r>
                                </w:p>
                              </w:tc>
                            </w:tr>
                            <w:tr>
                              <w:trPr/>
                              <w:tc>
                                <w:tcPr>
                                  <w:tcW w:w="29" w:type="dxa"/>
                                  <w:tcBorders/>
                                </w:tcPr>
                                <w:p>
                                  <w:pPr>
                                    <w:pStyle w:val="TableContents"/>
                                    <w:bidi w:val="0"/>
                                    <w:spacing w:before="0" w:after="283"/>
                                    <w:jc w:val="left"/>
                                    <w:rPr>
                                      <w:sz w:val="4"/>
                                      <w:szCs w:val="4"/>
                                    </w:rPr>
                                  </w:pPr>
                                  <w:r>
                                    <w:rPr>
                                      <w:sz w:val="4"/>
                                      <w:szCs w:val="4"/>
                                    </w:rPr>
                                  </w:r>
                                </w:p>
                              </w:tc>
                              <w:tc>
                                <w:tcPr>
                                  <w:tcW w:w="4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3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Partnership</w:t>
                                  </w:r>
                                </w:p>
                              </w:tc>
                              <w:tc>
                                <w:tcPr>
                                  <w:tcW w:w="4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37"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Partnership.</w:t>
                                  </w:r>
                                </w:p>
                              </w:tc>
                            </w:tr>
                            <w:tr>
                              <w:trPr/>
                              <w:tc>
                                <w:tcPr>
                                  <w:tcW w:w="29" w:type="dxa"/>
                                  <w:tcBorders/>
                                </w:tcPr>
                                <w:p>
                                  <w:pPr>
                                    <w:pStyle w:val="TableContents"/>
                                    <w:bidi w:val="0"/>
                                    <w:spacing w:before="0" w:after="283"/>
                                    <w:jc w:val="left"/>
                                    <w:rPr>
                                      <w:sz w:val="4"/>
                                      <w:szCs w:val="4"/>
                                    </w:rPr>
                                  </w:pPr>
                                  <w:r>
                                    <w:rPr>
                                      <w:sz w:val="4"/>
                                      <w:szCs w:val="4"/>
                                    </w:rPr>
                                  </w:r>
                                </w:p>
                              </w:tc>
                              <w:tc>
                                <w:tcPr>
                                  <w:tcW w:w="4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3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Trust/estate</w:t>
                                  </w:r>
                                </w:p>
                              </w:tc>
                              <w:tc>
                                <w:tcPr>
                                  <w:tcW w:w="4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37"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Trust/estate.</w:t>
                                  </w:r>
                                </w:p>
                              </w:tc>
                            </w:tr>
                          </w:tbl>
                          <w:p>
                            <w:pPr>
                              <w:pStyle w:val="TextBody"/>
                              <w:bidi w:val="0"/>
                              <w:spacing w:before="120" w:after="0"/>
                              <w:jc w:val="left"/>
                              <w:rPr>
                                <w:rFonts w:ascii="Times New Roman" w:hAnsi="Times New Roman"/>
                                <w:b/>
                                <w:sz w:val="22"/>
                              </w:rPr>
                            </w:pPr>
                            <w:r>
                              <w:rPr>
                                <w:rFonts w:ascii="Times New Roman" w:hAnsi="Times New Roman"/>
                                <w:b/>
                                <w:sz w:val="22"/>
                              </w:rPr>
                              <w:t xml:space="preserve">Line 3b </w:t>
                            </w:r>
                          </w:p>
                          <w:p>
                            <w:pPr>
                              <w:pStyle w:val="TextBody"/>
                              <w:bidi w:val="0"/>
                              <w:spacing w:before="120" w:after="0"/>
                              <w:jc w:val="left"/>
                              <w:rPr>
                                <w:rFonts w:ascii="Times New Roman" w:hAnsi="Times New Roman"/>
                                <w:sz w:val="16"/>
                              </w:rPr>
                            </w:pPr>
                            <w:r>
                              <w:rPr>
                                <w:rFonts w:ascii="Times New Roman" w:hAnsi="Times New Roman"/>
                                <w:sz w:val="16"/>
                              </w:rPr>
                              <w:t xml:space="preserve">Check this box if you are a partnership (including an LLC classified as a partnership for U.S. federal tax purposes), trust, or estate that has any foreign partners, owners, or beneficiaries, and you are providing this form to a partnership, trust, or estate, in which you have an ownership interest. You must check the box on line 3b if you receive a Form W-8 (or documentary evidence) from any partner, owner, or beneficiary establishing foreign status or if you receive a Form W-9 from any partner, owner, or beneficiary that has checked the box on line 3b. </w:t>
                            </w:r>
                          </w:p>
                          <w:p>
                            <w:pPr>
                              <w:pStyle w:val="TextBody"/>
                              <w:bidi w:val="0"/>
                              <w:spacing w:before="40" w:after="0"/>
                              <w:jc w:val="left"/>
                              <w:rPr>
                                <w:rFonts w:ascii="Times New Roman" w:hAnsi="Times New Roman"/>
                                <w:sz w:val="16"/>
                              </w:rPr>
                            </w:pPr>
                            <w:r>
                              <w:rPr>
                                <w:rFonts w:ascii="Times New Roman" w:hAnsi="Times New Roman"/>
                                <w:b/>
                                <w:sz w:val="16"/>
                              </w:rPr>
                              <w:t>Note:</w:t>
                            </w:r>
                            <w:r>
                              <w:rPr>
                                <w:rFonts w:ascii="Times New Roman" w:hAnsi="Times New Roman"/>
                                <w:sz w:val="16"/>
                              </w:rPr>
                              <w:t xml:space="preserve"> A partnership that provides a Form W-9 and checks box 3b may be required to complete Schedules K-2 and K-3 (Form 1065). For more information, see the Partnership Instructions for Schedules K-2 and K-3 (Form 1065). </w:t>
                            </w:r>
                          </w:p>
                          <w:p>
                            <w:pPr>
                              <w:pStyle w:val="TextBody"/>
                              <w:bidi w:val="0"/>
                              <w:spacing w:before="40" w:after="0"/>
                              <w:jc w:val="left"/>
                              <w:rPr>
                                <w:rFonts w:ascii="Times New Roman" w:hAnsi="Times New Roman"/>
                                <w:sz w:val="16"/>
                              </w:rPr>
                            </w:pPr>
                            <w:r>
                              <w:rPr>
                                <w:rFonts w:ascii="Times New Roman" w:hAnsi="Times New Roman"/>
                                <w:sz w:val="16"/>
                              </w:rPr>
                              <w:t xml:space="preserve">If you are required to complete line 3b but fail to do so, you may not receive the information necessary to file a correct information return with the IRS or furnish a correct payee statement to your partners or beneficiaries. See, for example, sections 6698, 6722, and 6724 for penalties that may apply. </w:t>
                            </w:r>
                          </w:p>
                          <w:p>
                            <w:pPr>
                              <w:pStyle w:val="TextBody"/>
                              <w:bidi w:val="0"/>
                              <w:spacing w:before="120" w:after="0"/>
                              <w:jc w:val="left"/>
                              <w:rPr>
                                <w:rFonts w:ascii="Times New Roman" w:hAnsi="Times New Roman"/>
                                <w:b/>
                                <w:sz w:val="22"/>
                              </w:rPr>
                            </w:pPr>
                            <w:r>
                              <w:rPr>
                                <w:rFonts w:ascii="Times New Roman" w:hAnsi="Times New Roman"/>
                                <w:b/>
                                <w:sz w:val="22"/>
                              </w:rPr>
                              <w:t xml:space="preserve">Line 4 Exemptions </w:t>
                            </w:r>
                          </w:p>
                          <w:p>
                            <w:pPr>
                              <w:pStyle w:val="TextBody"/>
                              <w:bidi w:val="0"/>
                              <w:spacing w:before="40" w:after="0"/>
                              <w:jc w:val="left"/>
                              <w:rPr>
                                <w:rFonts w:ascii="Times New Roman" w:hAnsi="Times New Roman"/>
                                <w:sz w:val="16"/>
                              </w:rPr>
                            </w:pPr>
                            <w:r>
                              <w:rPr>
                                <w:rFonts w:ascii="Times New Roman" w:hAnsi="Times New Roman"/>
                                <w:sz w:val="16"/>
                              </w:rPr>
                              <w:t xml:space="preserve">If you are exempt from backup withholding and/or FATCA reporting, enter in the appropriate space on line 4 any code(s) that may apply to you. </w:t>
                            </w:r>
                          </w:p>
                          <w:p>
                            <w:pPr>
                              <w:pStyle w:val="TextBody"/>
                              <w:bidi w:val="0"/>
                              <w:spacing w:before="40" w:after="0"/>
                              <w:jc w:val="left"/>
                              <w:rPr>
                                <w:rFonts w:ascii="Times New Roman" w:hAnsi="Times New Roman"/>
                                <w:b/>
                                <w:sz w:val="16"/>
                              </w:rPr>
                            </w:pPr>
                            <w:r>
                              <w:rPr>
                                <w:rFonts w:ascii="Times New Roman" w:hAnsi="Times New Roman"/>
                                <w:b/>
                                <w:sz w:val="16"/>
                              </w:rPr>
                              <w:t xml:space="preserve">Exempt payee code. </w:t>
                            </w:r>
                          </w:p>
                          <w:p>
                            <w:pPr>
                              <w:pStyle w:val="TextBody"/>
                              <w:bidi w:val="0"/>
                              <w:spacing w:before="40" w:after="0"/>
                              <w:jc w:val="left"/>
                              <w:rPr>
                                <w:rFonts w:ascii="Times New Roman" w:hAnsi="Times New Roman"/>
                                <w:sz w:val="16"/>
                              </w:rPr>
                            </w:pPr>
                            <w:r>
                              <w:rPr>
                                <w:rFonts w:ascii="Times New Roman" w:hAnsi="Times New Roman"/>
                                <w:sz w:val="16"/>
                              </w:rPr>
                              <w:t xml:space="preserve"> Generally, individuals (including sole proprietors) are not exempt from backup withholding.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Times New Roman" w:hAnsi="Times New Roman"/>
                          <w:sz w:val="16"/>
                        </w:rPr>
                      </w:pPr>
                      <w:r>
                        <w:rPr>
                          <w:rFonts w:ascii="Times New Roman" w:hAnsi="Times New Roman"/>
                          <w:sz w:val="16"/>
                        </w:rPr>
                        <w:t> </w:t>
                      </w:r>
                      <w:r>
                        <w:rPr>
                          <w:rFonts w:ascii="Times New Roman" w:hAnsi="Times New Roman"/>
                          <w:b/>
                          <w:sz w:val="16"/>
                        </w:rPr>
                        <w:t>Other entities.</w:t>
                      </w:r>
                      <w:r>
                        <w:rPr>
                          <w:rFonts w:ascii="Times New Roman" w:hAnsi="Times New Roman"/>
                          <w:sz w:val="16"/>
                        </w:rPr>
                        <w:t xml:space="preserve"> Enter your name as shown on required U.S. federal tax documents on line 1. This name should match the name shown on the charter or other legal document creating the entity. Enter any business, trade, or DBA name on line 2. </w:t>
                      </w:r>
                    </w:p>
                    <w:p>
                      <w:pPr>
                        <w:pStyle w:val="TextBody"/>
                        <w:bidi w:val="0"/>
                        <w:spacing w:before="40" w:after="0"/>
                        <w:jc w:val="left"/>
                        <w:rPr>
                          <w:rFonts w:ascii="Times New Roman" w:hAnsi="Times New Roman"/>
                          <w:sz w:val="16"/>
                        </w:rPr>
                      </w:pPr>
                      <w:r>
                        <w:rPr>
                          <w:rFonts w:ascii="Times New Roman" w:hAnsi="Times New Roman"/>
                          <w:sz w:val="16"/>
                        </w:rPr>
                        <w:t> </w:t>
                      </w:r>
                      <w:r>
                        <w:rPr>
                          <w:rFonts w:ascii="Times New Roman" w:hAnsi="Times New Roman"/>
                          <w:b/>
                          <w:sz w:val="16"/>
                        </w:rPr>
                        <w:t>Disregarded entity.</w:t>
                      </w:r>
                      <w:r>
                        <w:rPr>
                          <w:rFonts w:ascii="Times New Roman" w:hAnsi="Times New Roman"/>
                          <w:sz w:val="16"/>
                        </w:rPr>
                        <w:t xml:space="preserve"> In general, a business entity that has a single owner, including an LLC, and is not a corporation, is disregarded as an entity separate from its owner (a disregarded entity). See Regulations section 301.7701-2(c)(2). A disregarded entity should check the appropriate box for the tax classification of its owner. Enter the owner’s name on line 1. The name of the owner entered on line 1 should never be a disregarded entity. The name on line 1 should be the name shown on the income tax return on which the income should be reported. For example, if a foreign LLC that is treated as a disregarded entity for U.S. federal tax purposes has a single owner that is a U.S. person, the U.S. owner’s name is required to be provided on line 1. If the direct owner of the entity is also a disregarded entity, enter the first owner that is not disregarded for federal tax purposes. Enter the disregarded entity’s name on line 2. If the owner of the disregarded entity is a foreign person, the owner must complete an appropriate Form W-8 instead of a Form W-9. This is the case even if the foreign person has a U.S. TIN. </w:t>
                      </w:r>
                    </w:p>
                    <w:p>
                      <w:pPr>
                        <w:pStyle w:val="TextBody"/>
                        <w:bidi w:val="0"/>
                        <w:spacing w:before="120" w:after="0"/>
                        <w:jc w:val="left"/>
                        <w:rPr>
                          <w:rFonts w:ascii="Times New Roman" w:hAnsi="Times New Roman"/>
                          <w:b/>
                          <w:sz w:val="22"/>
                        </w:rPr>
                      </w:pPr>
                      <w:r>
                        <w:rPr>
                          <w:rFonts w:ascii="Times New Roman" w:hAnsi="Times New Roman"/>
                          <w:b/>
                          <w:sz w:val="22"/>
                        </w:rPr>
                        <w:t xml:space="preserve">Line 2 </w:t>
                      </w:r>
                    </w:p>
                    <w:p>
                      <w:pPr>
                        <w:pStyle w:val="TextBody"/>
                        <w:bidi w:val="0"/>
                        <w:spacing w:before="40" w:after="0"/>
                        <w:jc w:val="left"/>
                        <w:rPr>
                          <w:rFonts w:ascii="Times New Roman" w:hAnsi="Times New Roman"/>
                          <w:sz w:val="16"/>
                        </w:rPr>
                      </w:pPr>
                      <w:r>
                        <w:rPr>
                          <w:rFonts w:ascii="Times New Roman" w:hAnsi="Times New Roman"/>
                          <w:sz w:val="16"/>
                        </w:rPr>
                        <w:t xml:space="preserve">If you have a business name, trade name, DBA name, or disregarded entity name, enter it on line 2. </w:t>
                      </w:r>
                    </w:p>
                    <w:p>
                      <w:pPr>
                        <w:pStyle w:val="TextBody"/>
                        <w:bidi w:val="0"/>
                        <w:spacing w:before="120" w:after="0"/>
                        <w:jc w:val="left"/>
                        <w:rPr>
                          <w:rFonts w:ascii="Times New Roman" w:hAnsi="Times New Roman"/>
                          <w:b/>
                          <w:sz w:val="22"/>
                        </w:rPr>
                      </w:pPr>
                      <w:r>
                        <w:rPr>
                          <w:rFonts w:ascii="Times New Roman" w:hAnsi="Times New Roman"/>
                          <w:b/>
                          <w:sz w:val="22"/>
                        </w:rPr>
                        <w:t xml:space="preserve">Line 3a </w:t>
                      </w:r>
                    </w:p>
                    <w:p>
                      <w:pPr>
                        <w:pStyle w:val="TextBody"/>
                        <w:bidi w:val="0"/>
                        <w:spacing w:before="40" w:after="0"/>
                        <w:jc w:val="left"/>
                        <w:rPr>
                          <w:rFonts w:ascii="Times New Roman" w:hAnsi="Times New Roman"/>
                          <w:sz w:val="16"/>
                        </w:rPr>
                      </w:pPr>
                      <w:r>
                        <w:rPr>
                          <w:rFonts w:ascii="Times New Roman" w:hAnsi="Times New Roman"/>
                          <w:sz w:val="16"/>
                        </w:rPr>
                        <w:t xml:space="preserve">Check the appropriate box on line 3a for the U.S. federal tax classification of the person whose name is entered on line 1. Check only one box on line 3a.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
                        <w:gridCol w:w="49"/>
                        <w:gridCol w:w="2436"/>
                        <w:gridCol w:w="49"/>
                        <w:gridCol w:w="2437"/>
                      </w:tblGrid>
                      <w:tr>
                        <w:trPr/>
                        <w:tc>
                          <w:tcPr>
                            <w:tcW w:w="29" w:type="dxa"/>
                            <w:tcBorders/>
                            <w:vAlign w:val="center"/>
                          </w:tcPr>
                          <w:p>
                            <w:pPr>
                              <w:pStyle w:val="TableContents"/>
                              <w:bidi w:val="0"/>
                              <w:spacing w:before="0" w:after="283"/>
                              <w:jc w:val="left"/>
                              <w:rPr>
                                <w:sz w:val="4"/>
                                <w:szCs w:val="4"/>
                              </w:rPr>
                            </w:pPr>
                            <w:r>
                              <w:rPr>
                                <w:sz w:val="4"/>
                                <w:szCs w:val="4"/>
                              </w:rPr>
                            </w:r>
                          </w:p>
                        </w:tc>
                        <w:tc>
                          <w:tcPr>
                            <w:tcW w:w="49" w:type="dxa"/>
                            <w:tcBorders/>
                            <w:vAlign w:val="bottom"/>
                          </w:tcPr>
                          <w:p>
                            <w:pPr>
                              <w:pStyle w:val="TableContents"/>
                              <w:bidi w:val="0"/>
                              <w:spacing w:before="0" w:after="283"/>
                              <w:jc w:val="left"/>
                              <w:rPr>
                                <w:sz w:val="4"/>
                                <w:szCs w:val="4"/>
                              </w:rPr>
                            </w:pPr>
                            <w:r>
                              <w:rPr>
                                <w:sz w:val="4"/>
                                <w:szCs w:val="4"/>
                              </w:rPr>
                            </w:r>
                          </w:p>
                        </w:tc>
                        <w:tc>
                          <w:tcPr>
                            <w:tcW w:w="2436" w:type="dxa"/>
                            <w:tcBorders/>
                            <w:vAlign w:val="center"/>
                          </w:tcPr>
                          <w:p>
                            <w:pPr>
                              <w:pStyle w:val="TableContents"/>
                              <w:bidi w:val="0"/>
                              <w:spacing w:before="0" w:after="283"/>
                              <w:jc w:val="left"/>
                              <w:rPr>
                                <w:sz w:val="4"/>
                                <w:szCs w:val="4"/>
                              </w:rPr>
                            </w:pPr>
                            <w:r>
                              <w:rPr>
                                <w:sz w:val="4"/>
                                <w:szCs w:val="4"/>
                              </w:rPr>
                            </w:r>
                          </w:p>
                        </w:tc>
                        <w:tc>
                          <w:tcPr>
                            <w:tcW w:w="49" w:type="dxa"/>
                            <w:tcBorders/>
                            <w:vAlign w:val="bottom"/>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r>
                      <w:tr>
                        <w:trPr/>
                        <w:tc>
                          <w:tcPr>
                            <w:tcW w:w="29" w:type="dxa"/>
                            <w:tcBorders/>
                            <w:vAlign w:val="bottom"/>
                          </w:tcPr>
                          <w:p>
                            <w:pPr>
                              <w:pStyle w:val="TableContents"/>
                              <w:bidi w:val="0"/>
                              <w:spacing w:before="0" w:after="283"/>
                              <w:jc w:val="left"/>
                              <w:rPr/>
                            </w:pPr>
                            <w:r>
                              <w:rPr/>
                              <w:t> </w:t>
                            </w:r>
                          </w:p>
                        </w:tc>
                        <w:tc>
                          <w:tcPr>
                            <w:tcW w:w="4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36"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b/>
                              </w:rPr>
                            </w:pPr>
                            <w:r>
                              <w:rPr>
                                <w:b/>
                              </w:rPr>
                              <w:t>IF the entity/individual on line 1 is</w:t>
                              <w:br/>
                              <w:t>a(n) . . .</w:t>
                            </w:r>
                          </w:p>
                        </w:tc>
                        <w:tc>
                          <w:tcPr>
                            <w:tcW w:w="4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37"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b/>
                              </w:rPr>
                            </w:pPr>
                            <w:r>
                              <w:rPr>
                                <w:b/>
                              </w:rPr>
                              <w:t>THEN check the box for . . .</w:t>
                            </w:r>
                          </w:p>
                        </w:tc>
                      </w:tr>
                      <w:tr>
                        <w:trPr/>
                        <w:tc>
                          <w:tcPr>
                            <w:tcW w:w="29" w:type="dxa"/>
                            <w:tcBorders/>
                          </w:tcPr>
                          <w:p>
                            <w:pPr>
                              <w:pStyle w:val="TableContents"/>
                              <w:bidi w:val="0"/>
                              <w:spacing w:before="0" w:after="283"/>
                              <w:jc w:val="left"/>
                              <w:rPr>
                                <w:sz w:val="4"/>
                                <w:szCs w:val="4"/>
                              </w:rPr>
                            </w:pPr>
                            <w:r>
                              <w:rPr>
                                <w:sz w:val="4"/>
                                <w:szCs w:val="4"/>
                              </w:rPr>
                            </w:r>
                          </w:p>
                        </w:tc>
                        <w:tc>
                          <w:tcPr>
                            <w:tcW w:w="4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3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Corporation</w:t>
                            </w:r>
                          </w:p>
                        </w:tc>
                        <w:tc>
                          <w:tcPr>
                            <w:tcW w:w="4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37"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Corporation.</w:t>
                            </w:r>
                          </w:p>
                        </w:tc>
                      </w:tr>
                      <w:tr>
                        <w:trPr/>
                        <w:tc>
                          <w:tcPr>
                            <w:tcW w:w="29" w:type="dxa"/>
                            <w:tcBorders/>
                          </w:tcPr>
                          <w:p>
                            <w:pPr>
                              <w:pStyle w:val="TableContents"/>
                              <w:bidi w:val="0"/>
                              <w:spacing w:before="0" w:after="283"/>
                              <w:jc w:val="left"/>
                              <w:rPr>
                                <w:sz w:val="4"/>
                                <w:szCs w:val="4"/>
                              </w:rPr>
                            </w:pPr>
                            <w:r>
                              <w:rPr>
                                <w:sz w:val="4"/>
                                <w:szCs w:val="4"/>
                              </w:rPr>
                            </w:r>
                          </w:p>
                        </w:tc>
                        <w:tc>
                          <w:tcPr>
                            <w:tcW w:w="4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3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0"/>
                              <w:jc w:val="left"/>
                              <w:rPr>
                                <w:rFonts w:ascii="Times New Roman" w:hAnsi="Times New Roman"/>
                                <w:sz w:val="16"/>
                              </w:rPr>
                            </w:pPr>
                            <w:r>
                              <w:rPr>
                                <w:rFonts w:ascii="Times New Roman" w:hAnsi="Times New Roman"/>
                                <w:sz w:val="16"/>
                              </w:rPr>
                              <w:t> Individual or</w:t>
                            </w:r>
                          </w:p>
                          <w:p>
                            <w:pPr>
                              <w:pStyle w:val="TableContents"/>
                              <w:bidi w:val="0"/>
                              <w:spacing w:before="0" w:after="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 Sole proprietorship</w:t>
                            </w:r>
                          </w:p>
                        </w:tc>
                        <w:tc>
                          <w:tcPr>
                            <w:tcW w:w="4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37"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Individual/sole proprietor.</w:t>
                            </w:r>
                          </w:p>
                        </w:tc>
                      </w:tr>
                      <w:tr>
                        <w:trPr/>
                        <w:tc>
                          <w:tcPr>
                            <w:tcW w:w="29" w:type="dxa"/>
                            <w:tcBorders/>
                          </w:tcPr>
                          <w:p>
                            <w:pPr>
                              <w:pStyle w:val="TableContents"/>
                              <w:bidi w:val="0"/>
                              <w:spacing w:before="0" w:after="283"/>
                              <w:jc w:val="left"/>
                              <w:rPr>
                                <w:sz w:val="4"/>
                                <w:szCs w:val="4"/>
                              </w:rPr>
                            </w:pPr>
                            <w:r>
                              <w:rPr>
                                <w:sz w:val="4"/>
                                <w:szCs w:val="4"/>
                              </w:rPr>
                            </w:r>
                          </w:p>
                        </w:tc>
                        <w:tc>
                          <w:tcPr>
                            <w:tcW w:w="4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3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0"/>
                              <w:jc w:val="left"/>
                              <w:rPr>
                                <w:rFonts w:ascii="Times New Roman" w:hAnsi="Times New Roman"/>
                                <w:sz w:val="16"/>
                              </w:rPr>
                            </w:pPr>
                            <w:r>
                              <w:rPr>
                                <w:rFonts w:ascii="Times New Roman" w:hAnsi="Times New Roman"/>
                                <w:sz w:val="16"/>
                              </w:rPr>
                              <w:t> LLC classified as a partnership for U.S. federal tax purposes or</w:t>
                            </w:r>
                          </w:p>
                          <w:p>
                            <w:pPr>
                              <w:pStyle w:val="TableContents"/>
                              <w:bidi w:val="0"/>
                              <w:spacing w:before="0" w:after="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 LLC that has filed Form 8832 or 2553 electing to be taxed as a corporation</w:t>
                            </w:r>
                          </w:p>
                        </w:tc>
                        <w:tc>
                          <w:tcPr>
                            <w:tcW w:w="4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37"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rFonts w:ascii="Times New Roman" w:hAnsi="Times New Roman"/>
                                <w:sz w:val="16"/>
                              </w:rPr>
                            </w:pPr>
                            <w:r>
                              <w:rPr>
                                <w:rFonts w:ascii="Times New Roman" w:hAnsi="Times New Roman"/>
                                <w:sz w:val="16"/>
                              </w:rPr>
                              <w:t>Limited liability company and enter the appropriate tax classification:</w:t>
                            </w:r>
                          </w:p>
                          <w:p>
                            <w:pPr>
                              <w:pStyle w:val="TableContents"/>
                              <w:bidi w:val="0"/>
                              <w:spacing w:before="0" w:after="0"/>
                              <w:jc w:val="left"/>
                              <w:rPr>
                                <w:rFonts w:ascii="Times New Roman" w:hAnsi="Times New Roman"/>
                                <w:sz w:val="16"/>
                              </w:rPr>
                            </w:pPr>
                            <w:r>
                              <w:rPr>
                                <w:rFonts w:ascii="Times New Roman" w:hAnsi="Times New Roman"/>
                                <w:sz w:val="16"/>
                              </w:rPr>
                              <w:t>P = Partnership,</w:t>
                            </w:r>
                          </w:p>
                          <w:p>
                            <w:pPr>
                              <w:pStyle w:val="TableContents"/>
                              <w:bidi w:val="0"/>
                              <w:spacing w:before="0" w:after="0"/>
                              <w:jc w:val="left"/>
                              <w:rPr>
                                <w:rFonts w:ascii="Times New Roman" w:hAnsi="Times New Roman"/>
                                <w:sz w:val="16"/>
                              </w:rPr>
                            </w:pPr>
                            <w:r>
                              <w:rPr>
                                <w:rFonts w:ascii="Times New Roman" w:hAnsi="Times New Roman"/>
                                <w:sz w:val="16"/>
                              </w:rPr>
                              <w:t>C = C corporation, or</w:t>
                            </w:r>
                          </w:p>
                          <w:p>
                            <w:pPr>
                              <w:pStyle w:val="TableContents"/>
                              <w:bidi w:val="0"/>
                              <w:spacing w:before="0" w:after="20"/>
                              <w:jc w:val="left"/>
                              <w:rPr>
                                <w:rFonts w:ascii="Times New Roman" w:hAnsi="Times New Roman"/>
                                <w:sz w:val="16"/>
                              </w:rPr>
                            </w:pPr>
                            <w:r>
                              <w:rPr>
                                <w:rFonts w:ascii="Times New Roman" w:hAnsi="Times New Roman"/>
                                <w:sz w:val="16"/>
                              </w:rPr>
                              <w:t>S = S corporation.</w:t>
                            </w:r>
                          </w:p>
                        </w:tc>
                      </w:tr>
                      <w:tr>
                        <w:trPr/>
                        <w:tc>
                          <w:tcPr>
                            <w:tcW w:w="29" w:type="dxa"/>
                            <w:tcBorders/>
                          </w:tcPr>
                          <w:p>
                            <w:pPr>
                              <w:pStyle w:val="TableContents"/>
                              <w:bidi w:val="0"/>
                              <w:spacing w:before="0" w:after="283"/>
                              <w:jc w:val="left"/>
                              <w:rPr>
                                <w:sz w:val="4"/>
                                <w:szCs w:val="4"/>
                              </w:rPr>
                            </w:pPr>
                            <w:r>
                              <w:rPr>
                                <w:sz w:val="4"/>
                                <w:szCs w:val="4"/>
                              </w:rPr>
                            </w:r>
                          </w:p>
                        </w:tc>
                        <w:tc>
                          <w:tcPr>
                            <w:tcW w:w="4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3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Partnership</w:t>
                            </w:r>
                          </w:p>
                        </w:tc>
                        <w:tc>
                          <w:tcPr>
                            <w:tcW w:w="4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37"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Partnership.</w:t>
                            </w:r>
                          </w:p>
                        </w:tc>
                      </w:tr>
                      <w:tr>
                        <w:trPr/>
                        <w:tc>
                          <w:tcPr>
                            <w:tcW w:w="29" w:type="dxa"/>
                            <w:tcBorders/>
                          </w:tcPr>
                          <w:p>
                            <w:pPr>
                              <w:pStyle w:val="TableContents"/>
                              <w:bidi w:val="0"/>
                              <w:spacing w:before="0" w:after="283"/>
                              <w:jc w:val="left"/>
                              <w:rPr>
                                <w:sz w:val="4"/>
                                <w:szCs w:val="4"/>
                              </w:rPr>
                            </w:pPr>
                            <w:r>
                              <w:rPr>
                                <w:sz w:val="4"/>
                                <w:szCs w:val="4"/>
                              </w:rPr>
                            </w:r>
                          </w:p>
                        </w:tc>
                        <w:tc>
                          <w:tcPr>
                            <w:tcW w:w="4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3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Trust/estate</w:t>
                            </w:r>
                          </w:p>
                        </w:tc>
                        <w:tc>
                          <w:tcPr>
                            <w:tcW w:w="4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37"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Trust/estate.</w:t>
                            </w:r>
                          </w:p>
                        </w:tc>
                      </w:tr>
                    </w:tbl>
                    <w:p>
                      <w:pPr>
                        <w:pStyle w:val="TextBody"/>
                        <w:bidi w:val="0"/>
                        <w:spacing w:before="120" w:after="0"/>
                        <w:jc w:val="left"/>
                        <w:rPr>
                          <w:rFonts w:ascii="Times New Roman" w:hAnsi="Times New Roman"/>
                          <w:b/>
                          <w:sz w:val="22"/>
                        </w:rPr>
                      </w:pPr>
                      <w:r>
                        <w:rPr>
                          <w:rFonts w:ascii="Times New Roman" w:hAnsi="Times New Roman"/>
                          <w:b/>
                          <w:sz w:val="22"/>
                        </w:rPr>
                        <w:t xml:space="preserve">Line 3b </w:t>
                      </w:r>
                    </w:p>
                    <w:p>
                      <w:pPr>
                        <w:pStyle w:val="TextBody"/>
                        <w:bidi w:val="0"/>
                        <w:spacing w:before="120" w:after="0"/>
                        <w:jc w:val="left"/>
                        <w:rPr>
                          <w:rFonts w:ascii="Times New Roman" w:hAnsi="Times New Roman"/>
                          <w:sz w:val="16"/>
                        </w:rPr>
                      </w:pPr>
                      <w:r>
                        <w:rPr>
                          <w:rFonts w:ascii="Times New Roman" w:hAnsi="Times New Roman"/>
                          <w:sz w:val="16"/>
                        </w:rPr>
                        <w:t xml:space="preserve">Check this box if you are a partnership (including an LLC classified as a partnership for U.S. federal tax purposes), trust, or estate that has any foreign partners, owners, or beneficiaries, and you are providing this form to a partnership, trust, or estate, in which you have an ownership interest. You must check the box on line 3b if you receive a Form W-8 (or documentary evidence) from any partner, owner, or beneficiary establishing foreign status or if you receive a Form W-9 from any partner, owner, or beneficiary that has checked the box on line 3b. </w:t>
                      </w:r>
                    </w:p>
                    <w:p>
                      <w:pPr>
                        <w:pStyle w:val="TextBody"/>
                        <w:bidi w:val="0"/>
                        <w:spacing w:before="40" w:after="0"/>
                        <w:jc w:val="left"/>
                        <w:rPr>
                          <w:rFonts w:ascii="Times New Roman" w:hAnsi="Times New Roman"/>
                          <w:sz w:val="16"/>
                        </w:rPr>
                      </w:pPr>
                      <w:r>
                        <w:rPr>
                          <w:rFonts w:ascii="Times New Roman" w:hAnsi="Times New Roman"/>
                          <w:b/>
                          <w:sz w:val="16"/>
                        </w:rPr>
                        <w:t>Note:</w:t>
                      </w:r>
                      <w:r>
                        <w:rPr>
                          <w:rFonts w:ascii="Times New Roman" w:hAnsi="Times New Roman"/>
                          <w:sz w:val="16"/>
                        </w:rPr>
                        <w:t xml:space="preserve"> A partnership that provides a Form W-9 and checks box 3b may be required to complete Schedules K-2 and K-3 (Form 1065). For more information, see the Partnership Instructions for Schedules K-2 and K-3 (Form 1065). </w:t>
                      </w:r>
                    </w:p>
                    <w:p>
                      <w:pPr>
                        <w:pStyle w:val="TextBody"/>
                        <w:bidi w:val="0"/>
                        <w:spacing w:before="40" w:after="0"/>
                        <w:jc w:val="left"/>
                        <w:rPr>
                          <w:rFonts w:ascii="Times New Roman" w:hAnsi="Times New Roman"/>
                          <w:sz w:val="16"/>
                        </w:rPr>
                      </w:pPr>
                      <w:r>
                        <w:rPr>
                          <w:rFonts w:ascii="Times New Roman" w:hAnsi="Times New Roman"/>
                          <w:sz w:val="16"/>
                        </w:rPr>
                        <w:t xml:space="preserve">If you are required to complete line 3b but fail to do so, you may not receive the information necessary to file a correct information return with the IRS or furnish a correct payee statement to your partners or beneficiaries. See, for example, sections 6698, 6722, and 6724 for penalties that may apply. </w:t>
                      </w:r>
                    </w:p>
                    <w:p>
                      <w:pPr>
                        <w:pStyle w:val="TextBody"/>
                        <w:bidi w:val="0"/>
                        <w:spacing w:before="120" w:after="0"/>
                        <w:jc w:val="left"/>
                        <w:rPr>
                          <w:rFonts w:ascii="Times New Roman" w:hAnsi="Times New Roman"/>
                          <w:b/>
                          <w:sz w:val="22"/>
                        </w:rPr>
                      </w:pPr>
                      <w:r>
                        <w:rPr>
                          <w:rFonts w:ascii="Times New Roman" w:hAnsi="Times New Roman"/>
                          <w:b/>
                          <w:sz w:val="22"/>
                        </w:rPr>
                        <w:t xml:space="preserve">Line 4 Exemptions </w:t>
                      </w:r>
                    </w:p>
                    <w:p>
                      <w:pPr>
                        <w:pStyle w:val="TextBody"/>
                        <w:bidi w:val="0"/>
                        <w:spacing w:before="40" w:after="0"/>
                        <w:jc w:val="left"/>
                        <w:rPr>
                          <w:rFonts w:ascii="Times New Roman" w:hAnsi="Times New Roman"/>
                          <w:sz w:val="16"/>
                        </w:rPr>
                      </w:pPr>
                      <w:r>
                        <w:rPr>
                          <w:rFonts w:ascii="Times New Roman" w:hAnsi="Times New Roman"/>
                          <w:sz w:val="16"/>
                        </w:rPr>
                        <w:t xml:space="preserve">If you are exempt from backup withholding and/or FATCA reporting, enter in the appropriate space on line 4 any code(s) that may apply to you. </w:t>
                      </w:r>
                    </w:p>
                    <w:p>
                      <w:pPr>
                        <w:pStyle w:val="TextBody"/>
                        <w:bidi w:val="0"/>
                        <w:spacing w:before="40" w:after="0"/>
                        <w:jc w:val="left"/>
                        <w:rPr>
                          <w:rFonts w:ascii="Times New Roman" w:hAnsi="Times New Roman"/>
                          <w:b/>
                          <w:sz w:val="16"/>
                        </w:rPr>
                      </w:pPr>
                      <w:r>
                        <w:rPr>
                          <w:rFonts w:ascii="Times New Roman" w:hAnsi="Times New Roman"/>
                          <w:b/>
                          <w:sz w:val="16"/>
                        </w:rPr>
                        <w:t xml:space="preserve">Exempt payee code. </w:t>
                      </w:r>
                    </w:p>
                    <w:p>
                      <w:pPr>
                        <w:pStyle w:val="TextBody"/>
                        <w:bidi w:val="0"/>
                        <w:spacing w:before="40" w:after="0"/>
                        <w:jc w:val="left"/>
                        <w:rPr>
                          <w:rFonts w:ascii="Times New Roman" w:hAnsi="Times New Roman"/>
                          <w:sz w:val="16"/>
                        </w:rPr>
                      </w:pPr>
                      <w:r>
                        <w:rPr>
                          <w:rFonts w:ascii="Times New Roman" w:hAnsi="Times New Roman"/>
                          <w:sz w:val="16"/>
                        </w:rPr>
                        <w:t xml:space="preserve"> Generally, individuals (including sole proprietors) are not exempt from backup withholding. </w:t>
                      </w:r>
                    </w:p>
                  </w:txbxContent>
                </v:textbox>
                <w10:wrap type="square" side="right"/>
              </v:rect>
            </w:pict>
          </mc:Fallback>
        </mc:AlternateContent>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779"/>
        <w:gridCol w:w="426"/>
      </w:tblGrid>
      <w:tr>
        <w:trPr/>
        <w:tc>
          <w:tcPr>
            <w:tcW w:w="9779" w:type="dxa"/>
            <w:tcBorders/>
          </w:tcPr>
          <w:p>
            <w:pPr>
              <w:pStyle w:val="TableContents"/>
              <w:bidi w:val="0"/>
              <w:spacing w:before="0" w:after="20"/>
              <w:jc w:val="left"/>
              <w:rPr>
                <w:rFonts w:ascii="Times New Roman" w:hAnsi="Times New Roman"/>
                <w:sz w:val="14"/>
              </w:rPr>
            </w:pPr>
            <w:r>
              <w:rPr>
                <w:rFonts w:ascii="Times New Roman" w:hAnsi="Times New Roman"/>
                <w:sz w:val="14"/>
              </w:rPr>
              <w:t xml:space="preserve">Form W-9 (Rev. 3-2024) </w:t>
            </w:r>
          </w:p>
        </w:tc>
        <w:tc>
          <w:tcPr>
            <w:tcW w:w="426" w:type="dxa"/>
            <w:tcBorders/>
          </w:tcPr>
          <w:p>
            <w:pPr>
              <w:pStyle w:val="TableContents"/>
              <w:bidi w:val="0"/>
              <w:spacing w:before="0" w:after="20"/>
              <w:jc w:val="right"/>
              <w:rPr>
                <w:rFonts w:ascii="Times New Roman" w:hAnsi="Times New Roman"/>
                <w:sz w:val="14"/>
              </w:rPr>
            </w:pPr>
            <w:r>
              <w:rPr>
                <w:rFonts w:ascii="Times New Roman" w:hAnsi="Times New Roman"/>
                <w:sz w:val="14"/>
              </w:rPr>
              <w:t>Page </w:t>
            </w:r>
            <w:r>
              <w:rPr>
                <w:rFonts w:ascii="Times New Roman" w:hAnsi="Times New Roman"/>
                <w:b/>
                <w:sz w:val="20"/>
              </w:rPr>
              <w:t>4</w:t>
            </w:r>
            <w:r>
              <w:rPr>
                <w:rFonts w:ascii="Times New Roman" w:hAnsi="Times New Roman"/>
                <w:sz w:val="14"/>
              </w:rPr>
              <w:t xml:space="preserve"> </w:t>
            </w:r>
          </w:p>
        </w:tc>
      </w:tr>
    </w:tbl>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jc w:val="left"/>
        <w:rPr/>
      </w:pPr>
      <w:r>
        <w:rPr/>
        <w:t> </w:t>
      </w:r>
      <w:r>
        <w:br w:type="page"/>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3110230" cy="9972040"/>
                <wp:effectExtent l="0" t="0" r="0" b="0"/>
                <wp:wrapSquare wrapText="right"/>
                <wp:docPr id="11" name="Frame7"/>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p>
                            <w:pPr>
                              <w:pStyle w:val="TextBody"/>
                              <w:bidi w:val="0"/>
                              <w:spacing w:before="0" w:after="0"/>
                              <w:jc w:val="left"/>
                              <w:rPr>
                                <w:rFonts w:ascii="Times New Roman" w:hAnsi="Times New Roman"/>
                                <w:sz w:val="16"/>
                              </w:rPr>
                            </w:pPr>
                            <w:r>
                              <w:rPr>
                                <w:rFonts w:ascii="Times New Roman" w:hAnsi="Times New Roman"/>
                                <w:sz w:val="16"/>
                              </w:rPr>
                              <w:t xml:space="preserve"> Except as provided below, corporations are exempt from backup withholding for certain payments, including interest and dividends. </w:t>
                            </w:r>
                          </w:p>
                          <w:p>
                            <w:pPr>
                              <w:pStyle w:val="TextBody"/>
                              <w:bidi w:val="0"/>
                              <w:spacing w:before="40" w:after="0"/>
                              <w:jc w:val="left"/>
                              <w:rPr>
                                <w:rFonts w:ascii="Times New Roman" w:hAnsi="Times New Roman"/>
                                <w:sz w:val="16"/>
                              </w:rPr>
                            </w:pPr>
                            <w:r>
                              <w:rPr>
                                <w:rFonts w:ascii="Times New Roman" w:hAnsi="Times New Roman"/>
                                <w:sz w:val="16"/>
                              </w:rPr>
                              <w:t xml:space="preserve"> Corporations are not exempt from backup withholding for payments made in settlement of payment card or third-party network transactions. </w:t>
                            </w:r>
                          </w:p>
                          <w:p>
                            <w:pPr>
                              <w:pStyle w:val="TextBody"/>
                              <w:bidi w:val="0"/>
                              <w:spacing w:before="40" w:after="0"/>
                              <w:jc w:val="left"/>
                              <w:rPr>
                                <w:rFonts w:ascii="Times New Roman" w:hAnsi="Times New Roman"/>
                                <w:sz w:val="16"/>
                              </w:rPr>
                            </w:pPr>
                            <w:r>
                              <w:rPr>
                                <w:rFonts w:ascii="Times New Roman" w:hAnsi="Times New Roman"/>
                                <w:sz w:val="16"/>
                              </w:rPr>
                              <w:t xml:space="preserve"> Corporations are not exempt from backup withholding with respect to attorneys’ fees or gross proceeds paid to attorneys, and corporations that provide medical or health care services are not exempt with respect to payments reportable on Form 1099-MISC. </w:t>
                            </w:r>
                          </w:p>
                          <w:p>
                            <w:pPr>
                              <w:pStyle w:val="TextBody"/>
                              <w:bidi w:val="0"/>
                              <w:spacing w:before="40" w:after="0"/>
                              <w:jc w:val="left"/>
                              <w:rPr>
                                <w:rFonts w:ascii="Times New Roman" w:hAnsi="Times New Roman"/>
                                <w:sz w:val="16"/>
                              </w:rPr>
                            </w:pPr>
                            <w:r>
                              <w:rPr>
                                <w:rFonts w:ascii="Times New Roman" w:hAnsi="Times New Roman"/>
                                <w:sz w:val="16"/>
                              </w:rPr>
                              <w:t xml:space="preserve">The following codes identify payees that are exempt from backup withholding. Enter the appropriate code in the space on line 4. </w:t>
                            </w:r>
                          </w:p>
                          <w:p>
                            <w:pPr>
                              <w:pStyle w:val="TextBody"/>
                              <w:bidi w:val="0"/>
                              <w:spacing w:before="40" w:after="0"/>
                              <w:jc w:val="left"/>
                              <w:rPr>
                                <w:rFonts w:ascii="Times New Roman" w:hAnsi="Times New Roman"/>
                                <w:sz w:val="16"/>
                              </w:rPr>
                            </w:pPr>
                            <w:r>
                              <w:rPr>
                                <w:rFonts w:ascii="Times New Roman" w:hAnsi="Times New Roman"/>
                                <w:sz w:val="16"/>
                              </w:rPr>
                              <w:t xml:space="preserve">1 — An organization exempt from tax under section 501(a), any IRA, or a custodial account under section 403(b)(7) if the account satisfies the requirements of section 401(f)(2). </w:t>
                            </w:r>
                          </w:p>
                          <w:p>
                            <w:pPr>
                              <w:pStyle w:val="TextBody"/>
                              <w:bidi w:val="0"/>
                              <w:spacing w:before="40" w:after="0"/>
                              <w:jc w:val="left"/>
                              <w:rPr>
                                <w:rFonts w:ascii="Times New Roman" w:hAnsi="Times New Roman"/>
                                <w:sz w:val="16"/>
                              </w:rPr>
                            </w:pPr>
                            <w:r>
                              <w:rPr>
                                <w:rFonts w:ascii="Times New Roman" w:hAnsi="Times New Roman"/>
                                <w:sz w:val="16"/>
                              </w:rPr>
                              <w:t xml:space="preserve">2 — The United States or any of its agencies or instrumentalities. </w:t>
                            </w:r>
                          </w:p>
                          <w:p>
                            <w:pPr>
                              <w:pStyle w:val="TextBody"/>
                              <w:bidi w:val="0"/>
                              <w:spacing w:before="40" w:after="0"/>
                              <w:jc w:val="left"/>
                              <w:rPr>
                                <w:rFonts w:ascii="Times New Roman" w:hAnsi="Times New Roman"/>
                                <w:sz w:val="16"/>
                              </w:rPr>
                            </w:pPr>
                            <w:r>
                              <w:rPr>
                                <w:rFonts w:ascii="Times New Roman" w:hAnsi="Times New Roman"/>
                                <w:sz w:val="16"/>
                              </w:rPr>
                              <w:t xml:space="preserve">3 — A state, the District of Columbia, a U.S. commonwealth or territory, or any of their political subdivisions or instrumentalities. </w:t>
                            </w:r>
                          </w:p>
                          <w:p>
                            <w:pPr>
                              <w:pStyle w:val="TextBody"/>
                              <w:bidi w:val="0"/>
                              <w:spacing w:before="40" w:after="0"/>
                              <w:jc w:val="left"/>
                              <w:rPr>
                                <w:rFonts w:ascii="Times New Roman" w:hAnsi="Times New Roman"/>
                                <w:sz w:val="16"/>
                              </w:rPr>
                            </w:pPr>
                            <w:r>
                              <w:rPr>
                                <w:rFonts w:ascii="Times New Roman" w:hAnsi="Times New Roman"/>
                                <w:sz w:val="16"/>
                              </w:rPr>
                              <w:t xml:space="preserve">4 — A foreign government or any of its political subdivisions, agencies, or instrumentalities. </w:t>
                            </w:r>
                          </w:p>
                          <w:p>
                            <w:pPr>
                              <w:pStyle w:val="TextBody"/>
                              <w:bidi w:val="0"/>
                              <w:spacing w:before="120" w:after="0"/>
                              <w:jc w:val="left"/>
                              <w:rPr>
                                <w:rFonts w:ascii="Times New Roman" w:hAnsi="Times New Roman"/>
                                <w:sz w:val="16"/>
                              </w:rPr>
                            </w:pPr>
                            <w:r>
                              <w:rPr>
                                <w:rFonts w:ascii="Times New Roman" w:hAnsi="Times New Roman"/>
                                <w:sz w:val="16"/>
                              </w:rPr>
                              <w:t xml:space="preserve">5 — A corporation. </w:t>
                            </w:r>
                          </w:p>
                          <w:p>
                            <w:pPr>
                              <w:pStyle w:val="TextBody"/>
                              <w:bidi w:val="0"/>
                              <w:spacing w:before="40" w:after="0"/>
                              <w:jc w:val="left"/>
                              <w:rPr>
                                <w:rFonts w:ascii="Times New Roman" w:hAnsi="Times New Roman"/>
                                <w:sz w:val="16"/>
                              </w:rPr>
                            </w:pPr>
                            <w:r>
                              <w:rPr>
                                <w:rFonts w:ascii="Times New Roman" w:hAnsi="Times New Roman"/>
                                <w:sz w:val="16"/>
                              </w:rPr>
                              <w:t xml:space="preserve">6 — A dealer in securities or commodities required to register in the United States, the District of Columbia, or a U.S. commonwealth or territory. </w:t>
                            </w:r>
                          </w:p>
                          <w:p>
                            <w:pPr>
                              <w:pStyle w:val="TextBody"/>
                              <w:bidi w:val="0"/>
                              <w:spacing w:before="40" w:after="0"/>
                              <w:jc w:val="left"/>
                              <w:rPr>
                                <w:rFonts w:ascii="Times New Roman" w:hAnsi="Times New Roman"/>
                                <w:sz w:val="16"/>
                              </w:rPr>
                            </w:pPr>
                            <w:r>
                              <w:rPr>
                                <w:rFonts w:ascii="Times New Roman" w:hAnsi="Times New Roman"/>
                                <w:sz w:val="16"/>
                              </w:rPr>
                              <w:t xml:space="preserve">7 — A futures commission merchant registered with the Commodity Futures Trading Commission. </w:t>
                            </w:r>
                          </w:p>
                          <w:p>
                            <w:pPr>
                              <w:pStyle w:val="TextBody"/>
                              <w:bidi w:val="0"/>
                              <w:spacing w:before="40" w:after="0"/>
                              <w:jc w:val="left"/>
                              <w:rPr>
                                <w:rFonts w:ascii="Times New Roman" w:hAnsi="Times New Roman"/>
                                <w:sz w:val="16"/>
                              </w:rPr>
                            </w:pPr>
                            <w:r>
                              <w:rPr>
                                <w:rFonts w:ascii="Times New Roman" w:hAnsi="Times New Roman"/>
                                <w:sz w:val="16"/>
                              </w:rPr>
                              <w:t xml:space="preserve">8 — A real estate investment trust. </w:t>
                            </w:r>
                          </w:p>
                          <w:p>
                            <w:pPr>
                              <w:pStyle w:val="TextBody"/>
                              <w:bidi w:val="0"/>
                              <w:spacing w:before="40" w:after="0"/>
                              <w:jc w:val="left"/>
                              <w:rPr>
                                <w:rFonts w:ascii="Times New Roman" w:hAnsi="Times New Roman"/>
                                <w:sz w:val="16"/>
                              </w:rPr>
                            </w:pPr>
                            <w:r>
                              <w:rPr>
                                <w:rFonts w:ascii="Times New Roman" w:hAnsi="Times New Roman"/>
                                <w:sz w:val="16"/>
                              </w:rPr>
                              <w:t xml:space="preserve">9 — An entity registered at all times during the tax year under the Investment Company Act of 1940. </w:t>
                            </w:r>
                          </w:p>
                          <w:p>
                            <w:pPr>
                              <w:pStyle w:val="TextBody"/>
                              <w:bidi w:val="0"/>
                              <w:spacing w:before="40" w:after="0"/>
                              <w:jc w:val="left"/>
                              <w:rPr>
                                <w:rFonts w:ascii="Times New Roman" w:hAnsi="Times New Roman"/>
                                <w:sz w:val="16"/>
                              </w:rPr>
                            </w:pPr>
                            <w:r>
                              <w:rPr>
                                <w:rFonts w:ascii="Times New Roman" w:hAnsi="Times New Roman"/>
                                <w:sz w:val="16"/>
                              </w:rPr>
                              <w:t xml:space="preserve">10 — A common trust fund operated by a bank under section 584(a). </w:t>
                            </w:r>
                          </w:p>
                          <w:p>
                            <w:pPr>
                              <w:pStyle w:val="TextBody"/>
                              <w:bidi w:val="0"/>
                              <w:spacing w:before="40" w:after="0"/>
                              <w:jc w:val="left"/>
                              <w:rPr>
                                <w:rFonts w:ascii="Times New Roman" w:hAnsi="Times New Roman"/>
                                <w:sz w:val="16"/>
                              </w:rPr>
                            </w:pPr>
                            <w:r>
                              <w:rPr>
                                <w:rFonts w:ascii="Times New Roman" w:hAnsi="Times New Roman"/>
                                <w:sz w:val="16"/>
                              </w:rPr>
                              <w:t xml:space="preserve">11 — A financial institution as defined under section 581. </w:t>
                            </w:r>
                          </w:p>
                          <w:p>
                            <w:pPr>
                              <w:pStyle w:val="TextBody"/>
                              <w:bidi w:val="0"/>
                              <w:spacing w:before="40" w:after="0"/>
                              <w:jc w:val="left"/>
                              <w:rPr>
                                <w:rFonts w:ascii="Times New Roman" w:hAnsi="Times New Roman"/>
                                <w:sz w:val="16"/>
                              </w:rPr>
                            </w:pPr>
                            <w:r>
                              <w:rPr>
                                <w:rFonts w:ascii="Times New Roman" w:hAnsi="Times New Roman"/>
                                <w:sz w:val="16"/>
                              </w:rPr>
                              <w:t xml:space="preserve">12 — A middleman known in the investment community as a nominee or custodian. </w:t>
                            </w:r>
                          </w:p>
                          <w:p>
                            <w:pPr>
                              <w:pStyle w:val="TextBody"/>
                              <w:bidi w:val="0"/>
                              <w:spacing w:before="40" w:after="0"/>
                              <w:jc w:val="left"/>
                              <w:rPr>
                                <w:rFonts w:ascii="Times New Roman" w:hAnsi="Times New Roman"/>
                                <w:sz w:val="16"/>
                              </w:rPr>
                            </w:pPr>
                            <w:r>
                              <w:rPr>
                                <w:rFonts w:ascii="Times New Roman" w:hAnsi="Times New Roman"/>
                                <w:sz w:val="16"/>
                              </w:rPr>
                              <w:t xml:space="preserve">13 — A trust exempt from tax under section 664 or described in section 4947. </w:t>
                            </w:r>
                          </w:p>
                          <w:p>
                            <w:pPr>
                              <w:pStyle w:val="TextBody"/>
                              <w:bidi w:val="0"/>
                              <w:spacing w:before="40" w:after="0"/>
                              <w:jc w:val="left"/>
                              <w:rPr>
                                <w:rFonts w:ascii="Times New Roman" w:hAnsi="Times New Roman"/>
                                <w:sz w:val="16"/>
                              </w:rPr>
                            </w:pPr>
                            <w:r>
                              <w:rPr>
                                <w:rFonts w:ascii="Times New Roman" w:hAnsi="Times New Roman"/>
                                <w:sz w:val="16"/>
                              </w:rPr>
                              <w:t xml:space="preserve">The following chart shows types of payments that may be exempt from backup withholding. The chart applies to the exempt payees listed above, 1 through 13.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74"/>
                              <w:gridCol w:w="101"/>
                              <w:gridCol w:w="2323"/>
                            </w:tblGrid>
                            <w:tr>
                              <w:trPr/>
                              <w:tc>
                                <w:tcPr>
                                  <w:tcW w:w="247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r>
                            <w:tr>
                              <w:trPr/>
                              <w:tc>
                                <w:tcPr>
                                  <w:tcW w:w="2474" w:type="dxa"/>
                                  <w:tcBorders>
                                    <w:top w:val="single" w:sz="2" w:space="0" w:color="000000"/>
                                    <w:bottom w:val="single" w:sz="2" w:space="0" w:color="000000"/>
                                  </w:tcBorders>
                                  <w:tcMar>
                                    <w:top w:w="28" w:type="dxa"/>
                                    <w:bottom w:w="28" w:type="dxa"/>
                                  </w:tcMar>
                                </w:tcPr>
                                <w:p>
                                  <w:pPr>
                                    <w:pStyle w:val="TableContents"/>
                                    <w:bidi w:val="0"/>
                                    <w:spacing w:before="0" w:after="283"/>
                                    <w:jc w:val="left"/>
                                    <w:rPr>
                                      <w:b/>
                                    </w:rPr>
                                  </w:pPr>
                                  <w:r>
                                    <w:rPr>
                                      <w:b/>
                                    </w:rPr>
                                    <w:t>IF the payment is for...</w:t>
                                  </w:r>
                                </w:p>
                              </w:tc>
                              <w:tc>
                                <w:tcPr>
                                  <w:tcW w:w="10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23" w:type="dxa"/>
                                  <w:tcBorders>
                                    <w:top w:val="single" w:sz="2" w:space="0" w:color="000000"/>
                                    <w:bottom w:val="single" w:sz="2" w:space="0" w:color="000000"/>
                                  </w:tcBorders>
                                  <w:tcMar>
                                    <w:top w:w="28" w:type="dxa"/>
                                    <w:bottom w:w="28" w:type="dxa"/>
                                  </w:tcMar>
                                </w:tcPr>
                                <w:p>
                                  <w:pPr>
                                    <w:pStyle w:val="TableContents"/>
                                    <w:bidi w:val="0"/>
                                    <w:spacing w:before="0" w:after="283"/>
                                    <w:jc w:val="left"/>
                                    <w:rPr>
                                      <w:b/>
                                    </w:rPr>
                                  </w:pPr>
                                  <w:r>
                                    <w:rPr>
                                      <w:b/>
                                    </w:rPr>
                                    <w:t>THEN the payment is exempt</w:t>
                                    <w:br/>
                                    <w:t>for...</w:t>
                                  </w:r>
                                </w:p>
                              </w:tc>
                            </w:tr>
                            <w:tr>
                              <w:trPr/>
                              <w:tc>
                                <w:tcPr>
                                  <w:tcW w:w="2474" w:type="dxa"/>
                                  <w:tcBorders>
                                    <w:bottom w:val="single" w:sz="2" w:space="0" w:color="000000"/>
                                  </w:tcBorders>
                                  <w:tcMar>
                                    <w:bottom w:w="28" w:type="dxa"/>
                                  </w:tcMar>
                                </w:tcPr>
                                <w:p>
                                  <w:pPr>
                                    <w:pStyle w:val="TableContents"/>
                                    <w:bidi w:val="0"/>
                                    <w:spacing w:before="0" w:after="283"/>
                                    <w:jc w:val="left"/>
                                    <w:rPr/>
                                  </w:pPr>
                                  <w:r>
                                    <w:rPr/>
                                    <w:t> Interest and dividend payments</w:t>
                                  </w:r>
                                </w:p>
                              </w:tc>
                              <w:tc>
                                <w:tcPr>
                                  <w:tcW w:w="10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323" w:type="dxa"/>
                                  <w:tcBorders>
                                    <w:bottom w:val="single" w:sz="2" w:space="0" w:color="000000"/>
                                  </w:tcBorders>
                                  <w:tcMar>
                                    <w:bottom w:w="28" w:type="dxa"/>
                                  </w:tcMar>
                                </w:tcPr>
                                <w:p>
                                  <w:pPr>
                                    <w:pStyle w:val="TableContents"/>
                                    <w:bidi w:val="0"/>
                                    <w:spacing w:before="0" w:after="283"/>
                                    <w:jc w:val="left"/>
                                    <w:rPr/>
                                  </w:pPr>
                                  <w:r>
                                    <w:rPr/>
                                    <w:t>All exempt payees except for 7.</w:t>
                                  </w:r>
                                </w:p>
                              </w:tc>
                            </w:tr>
                            <w:tr>
                              <w:trPr/>
                              <w:tc>
                                <w:tcPr>
                                  <w:tcW w:w="2474" w:type="dxa"/>
                                  <w:tcBorders>
                                    <w:bottom w:val="single" w:sz="2" w:space="0" w:color="000000"/>
                                  </w:tcBorders>
                                  <w:tcMar>
                                    <w:bottom w:w="28" w:type="dxa"/>
                                  </w:tcMar>
                                </w:tcPr>
                                <w:p>
                                  <w:pPr>
                                    <w:pStyle w:val="TableContents"/>
                                    <w:bidi w:val="0"/>
                                    <w:spacing w:before="0" w:after="283"/>
                                    <w:jc w:val="left"/>
                                    <w:rPr/>
                                  </w:pPr>
                                  <w:r>
                                    <w:rPr/>
                                    <w:t> Broker transactions</w:t>
                                  </w:r>
                                </w:p>
                              </w:tc>
                              <w:tc>
                                <w:tcPr>
                                  <w:tcW w:w="10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323" w:type="dxa"/>
                                  <w:tcBorders>
                                    <w:bottom w:val="single" w:sz="2" w:space="0" w:color="000000"/>
                                  </w:tcBorders>
                                  <w:tcMar>
                                    <w:bottom w:w="28" w:type="dxa"/>
                                  </w:tcMar>
                                </w:tcPr>
                                <w:p>
                                  <w:pPr>
                                    <w:pStyle w:val="TableContents"/>
                                    <w:bidi w:val="0"/>
                                    <w:spacing w:before="0" w:after="283"/>
                                    <w:jc w:val="left"/>
                                    <w:rPr/>
                                  </w:pPr>
                                  <w:r>
                                    <w:rPr/>
                                    <w:t>Exempt payees 1 through 4 and 6 through 11 and all C corporations. S corporations must not enter an exempt payee code because they are exempt only for sales of noncovered securities acquired prior to 2012.</w:t>
                                  </w:r>
                                </w:p>
                              </w:tc>
                            </w:tr>
                            <w:tr>
                              <w:trPr/>
                              <w:tc>
                                <w:tcPr>
                                  <w:tcW w:w="2474" w:type="dxa"/>
                                  <w:tcBorders>
                                    <w:bottom w:val="single" w:sz="2" w:space="0" w:color="000000"/>
                                  </w:tcBorders>
                                  <w:tcMar>
                                    <w:bottom w:w="28" w:type="dxa"/>
                                  </w:tcMar>
                                </w:tcPr>
                                <w:p>
                                  <w:pPr>
                                    <w:pStyle w:val="TableContents"/>
                                    <w:bidi w:val="0"/>
                                    <w:spacing w:before="0" w:after="283"/>
                                    <w:jc w:val="left"/>
                                    <w:rPr/>
                                  </w:pPr>
                                  <w:r>
                                    <w:rPr/>
                                    <w:t> Barter exchange transactions and patronage dividends</w:t>
                                  </w:r>
                                </w:p>
                              </w:tc>
                              <w:tc>
                                <w:tcPr>
                                  <w:tcW w:w="10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323" w:type="dxa"/>
                                  <w:tcBorders>
                                    <w:bottom w:val="single" w:sz="2" w:space="0" w:color="000000"/>
                                  </w:tcBorders>
                                  <w:tcMar>
                                    <w:bottom w:w="28" w:type="dxa"/>
                                  </w:tcMar>
                                </w:tcPr>
                                <w:p>
                                  <w:pPr>
                                    <w:pStyle w:val="TableContents"/>
                                    <w:bidi w:val="0"/>
                                    <w:spacing w:before="0" w:after="283"/>
                                    <w:jc w:val="left"/>
                                    <w:rPr/>
                                  </w:pPr>
                                  <w:r>
                                    <w:rPr/>
                                    <w:t>Exempt payees 1 through 4.</w:t>
                                  </w:r>
                                </w:p>
                              </w:tc>
                            </w:tr>
                            <w:tr>
                              <w:trPr/>
                              <w:tc>
                                <w:tcPr>
                                  <w:tcW w:w="2474" w:type="dxa"/>
                                  <w:tcBorders>
                                    <w:bottom w:val="single" w:sz="2" w:space="0" w:color="000000"/>
                                  </w:tcBorders>
                                  <w:tcMar>
                                    <w:bottom w:w="28" w:type="dxa"/>
                                  </w:tcMar>
                                </w:tcPr>
                                <w:p>
                                  <w:pPr>
                                    <w:pStyle w:val="TableContents"/>
                                    <w:bidi w:val="0"/>
                                    <w:spacing w:before="0" w:after="283"/>
                                    <w:jc w:val="left"/>
                                    <w:rPr/>
                                  </w:pPr>
                                  <w:r>
                                    <w:rPr/>
                                    <w:t> Payments over $600 required to be reported and direct sales over $5,000</w:t>
                                  </w:r>
                                </w:p>
                              </w:tc>
                              <w:tc>
                                <w:tcPr>
                                  <w:tcW w:w="10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323" w:type="dxa"/>
                                  <w:tcBorders>
                                    <w:bottom w:val="single" w:sz="2" w:space="0" w:color="000000"/>
                                  </w:tcBorders>
                                  <w:tcMar>
                                    <w:bottom w:w="28" w:type="dxa"/>
                                  </w:tcMar>
                                </w:tcPr>
                                <w:p>
                                  <w:pPr>
                                    <w:pStyle w:val="TableContents"/>
                                    <w:bidi w:val="0"/>
                                    <w:spacing w:before="0" w:after="283"/>
                                    <w:jc w:val="left"/>
                                    <w:rPr/>
                                  </w:pPr>
                                  <w:r>
                                    <w:rPr/>
                                    <w:t>Generally, exempt payees 1 through 5.</w:t>
                                  </w:r>
                                </w:p>
                              </w:tc>
                            </w:tr>
                            <w:tr>
                              <w:trPr/>
                              <w:tc>
                                <w:tcPr>
                                  <w:tcW w:w="2474" w:type="dxa"/>
                                  <w:tcBorders>
                                    <w:bottom w:val="single" w:sz="2" w:space="0" w:color="000000"/>
                                  </w:tcBorders>
                                  <w:tcMar>
                                    <w:bottom w:w="28" w:type="dxa"/>
                                  </w:tcMar>
                                </w:tcPr>
                                <w:p>
                                  <w:pPr>
                                    <w:pStyle w:val="TableContents"/>
                                    <w:bidi w:val="0"/>
                                    <w:spacing w:before="0" w:after="283"/>
                                    <w:jc w:val="left"/>
                                    <w:rPr/>
                                  </w:pPr>
                                  <w:r>
                                    <w:rPr/>
                                    <w:t> Payments made in settlement of payment card or third-party network transactions</w:t>
                                  </w:r>
                                </w:p>
                              </w:tc>
                              <w:tc>
                                <w:tcPr>
                                  <w:tcW w:w="10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323" w:type="dxa"/>
                                  <w:tcBorders>
                                    <w:bottom w:val="single" w:sz="2" w:space="0" w:color="000000"/>
                                  </w:tcBorders>
                                  <w:tcMar>
                                    <w:bottom w:w="28" w:type="dxa"/>
                                  </w:tcMar>
                                </w:tcPr>
                                <w:p>
                                  <w:pPr>
                                    <w:pStyle w:val="TableContents"/>
                                    <w:bidi w:val="0"/>
                                    <w:spacing w:before="0" w:after="283"/>
                                    <w:jc w:val="left"/>
                                    <w:rPr/>
                                  </w:pPr>
                                  <w:r>
                                    <w:rPr/>
                                    <w:t>Exempt payees 1 through 4.</w:t>
                                  </w:r>
                                </w:p>
                              </w:tc>
                            </w:tr>
                          </w:tbl>
                          <w:p>
                            <w:pPr>
                              <w:pStyle w:val="TextBody"/>
                              <w:bidi w:val="0"/>
                              <w:spacing w:before="0" w:after="0"/>
                              <w:jc w:val="left"/>
                              <w:rPr>
                                <w:rFonts w:ascii="Times New Roman" w:hAnsi="Times New Roman"/>
                                <w:sz w:val="16"/>
                              </w:rPr>
                            </w:pPr>
                            <w:r>
                              <w:rPr>
                                <w:rFonts w:ascii="Times New Roman" w:hAnsi="Times New Roman"/>
                                <w:sz w:val="16"/>
                              </w:rPr>
                              <w:t xml:space="preserve">See Form 1099-MISC, Miscellaneous Information, and its instructions. </w:t>
                            </w:r>
                          </w:p>
                          <w:p>
                            <w:pPr>
                              <w:pStyle w:val="TextBody"/>
                              <w:bidi w:val="0"/>
                              <w:spacing w:before="40" w:after="0"/>
                              <w:jc w:val="left"/>
                              <w:rPr>
                                <w:rFonts w:ascii="Times New Roman" w:hAnsi="Times New Roman"/>
                                <w:sz w:val="16"/>
                              </w:rPr>
                            </w:pPr>
                            <w:r>
                              <w:rPr>
                                <w:rFonts w:ascii="Times New Roman" w:hAnsi="Times New Roman"/>
                                <w:sz w:val="16"/>
                              </w:rPr>
                              <w:t xml:space="preserve">However, the following payments made to a corporation and reportable on Form 1099-MISC are not exempt from backup withholding: medical and health care payments, attorneys’ fees, gross proceeds paid to an attorney reportable under section 6045(f), and payments for services paid by a federal executive agency. </w:t>
                            </w:r>
                          </w:p>
                          <w:p>
                            <w:pPr>
                              <w:pStyle w:val="TextBody"/>
                              <w:bidi w:val="0"/>
                              <w:spacing w:before="40" w:after="0"/>
                              <w:jc w:val="left"/>
                              <w:rPr>
                                <w:rFonts w:ascii="Times New Roman" w:hAnsi="Times New Roman"/>
                                <w:sz w:val="16"/>
                              </w:rPr>
                            </w:pPr>
                            <w:r>
                              <w:rPr>
                                <w:rFonts w:ascii="Times New Roman" w:hAnsi="Times New Roman"/>
                                <w:b/>
                                <w:sz w:val="16"/>
                              </w:rPr>
                              <w:t>Exemption from FATCA reporting code.</w:t>
                            </w:r>
                            <w:r>
                              <w:rPr>
                                <w:rFonts w:ascii="Times New Roman" w:hAnsi="Times New Roman"/>
                                <w:sz w:val="16"/>
                              </w:rPr>
                              <w:t xml:space="preserve"> The following codes identify payees that are exempt from reporting under FATCA. These codes apply to persons submitting this form for accounts maintained outside of the United States by certain foreign financial institutions. Therefore, if you are only submitting this form for an account you hold in the United States, you may leave this field blank. Consult with the person requesting this form if you are uncertain if the financial institution is subject to these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Times New Roman" w:hAnsi="Times New Roman"/>
                          <w:sz w:val="16"/>
                        </w:rPr>
                      </w:pPr>
                      <w:r>
                        <w:rPr>
                          <w:rFonts w:ascii="Times New Roman" w:hAnsi="Times New Roman"/>
                          <w:sz w:val="16"/>
                        </w:rPr>
                        <w:t xml:space="preserve"> Except as provided below, corporations are exempt from backup withholding for certain payments, including interest and dividends. </w:t>
                      </w:r>
                    </w:p>
                    <w:p>
                      <w:pPr>
                        <w:pStyle w:val="TextBody"/>
                        <w:bidi w:val="0"/>
                        <w:spacing w:before="40" w:after="0"/>
                        <w:jc w:val="left"/>
                        <w:rPr>
                          <w:rFonts w:ascii="Times New Roman" w:hAnsi="Times New Roman"/>
                          <w:sz w:val="16"/>
                        </w:rPr>
                      </w:pPr>
                      <w:r>
                        <w:rPr>
                          <w:rFonts w:ascii="Times New Roman" w:hAnsi="Times New Roman"/>
                          <w:sz w:val="16"/>
                        </w:rPr>
                        <w:t xml:space="preserve"> Corporations are not exempt from backup withholding for payments made in settlement of payment card or third-party network transactions. </w:t>
                      </w:r>
                    </w:p>
                    <w:p>
                      <w:pPr>
                        <w:pStyle w:val="TextBody"/>
                        <w:bidi w:val="0"/>
                        <w:spacing w:before="40" w:after="0"/>
                        <w:jc w:val="left"/>
                        <w:rPr>
                          <w:rFonts w:ascii="Times New Roman" w:hAnsi="Times New Roman"/>
                          <w:sz w:val="16"/>
                        </w:rPr>
                      </w:pPr>
                      <w:r>
                        <w:rPr>
                          <w:rFonts w:ascii="Times New Roman" w:hAnsi="Times New Roman"/>
                          <w:sz w:val="16"/>
                        </w:rPr>
                        <w:t xml:space="preserve"> Corporations are not exempt from backup withholding with respect to attorneys’ fees or gross proceeds paid to attorneys, and corporations that provide medical or health care services are not exempt with respect to payments reportable on Form 1099-MISC. </w:t>
                      </w:r>
                    </w:p>
                    <w:p>
                      <w:pPr>
                        <w:pStyle w:val="TextBody"/>
                        <w:bidi w:val="0"/>
                        <w:spacing w:before="40" w:after="0"/>
                        <w:jc w:val="left"/>
                        <w:rPr>
                          <w:rFonts w:ascii="Times New Roman" w:hAnsi="Times New Roman"/>
                          <w:sz w:val="16"/>
                        </w:rPr>
                      </w:pPr>
                      <w:r>
                        <w:rPr>
                          <w:rFonts w:ascii="Times New Roman" w:hAnsi="Times New Roman"/>
                          <w:sz w:val="16"/>
                        </w:rPr>
                        <w:t xml:space="preserve">The following codes identify payees that are exempt from backup withholding. Enter the appropriate code in the space on line 4. </w:t>
                      </w:r>
                    </w:p>
                    <w:p>
                      <w:pPr>
                        <w:pStyle w:val="TextBody"/>
                        <w:bidi w:val="0"/>
                        <w:spacing w:before="40" w:after="0"/>
                        <w:jc w:val="left"/>
                        <w:rPr>
                          <w:rFonts w:ascii="Times New Roman" w:hAnsi="Times New Roman"/>
                          <w:sz w:val="16"/>
                        </w:rPr>
                      </w:pPr>
                      <w:r>
                        <w:rPr>
                          <w:rFonts w:ascii="Times New Roman" w:hAnsi="Times New Roman"/>
                          <w:sz w:val="16"/>
                        </w:rPr>
                        <w:t xml:space="preserve">1 — An organization exempt from tax under section 501(a), any IRA, or a custodial account under section 403(b)(7) if the account satisfies the requirements of section 401(f)(2). </w:t>
                      </w:r>
                    </w:p>
                    <w:p>
                      <w:pPr>
                        <w:pStyle w:val="TextBody"/>
                        <w:bidi w:val="0"/>
                        <w:spacing w:before="40" w:after="0"/>
                        <w:jc w:val="left"/>
                        <w:rPr>
                          <w:rFonts w:ascii="Times New Roman" w:hAnsi="Times New Roman"/>
                          <w:sz w:val="16"/>
                        </w:rPr>
                      </w:pPr>
                      <w:r>
                        <w:rPr>
                          <w:rFonts w:ascii="Times New Roman" w:hAnsi="Times New Roman"/>
                          <w:sz w:val="16"/>
                        </w:rPr>
                        <w:t xml:space="preserve">2 — The United States or any of its agencies or instrumentalities. </w:t>
                      </w:r>
                    </w:p>
                    <w:p>
                      <w:pPr>
                        <w:pStyle w:val="TextBody"/>
                        <w:bidi w:val="0"/>
                        <w:spacing w:before="40" w:after="0"/>
                        <w:jc w:val="left"/>
                        <w:rPr>
                          <w:rFonts w:ascii="Times New Roman" w:hAnsi="Times New Roman"/>
                          <w:sz w:val="16"/>
                        </w:rPr>
                      </w:pPr>
                      <w:r>
                        <w:rPr>
                          <w:rFonts w:ascii="Times New Roman" w:hAnsi="Times New Roman"/>
                          <w:sz w:val="16"/>
                        </w:rPr>
                        <w:t xml:space="preserve">3 — A state, the District of Columbia, a U.S. commonwealth or territory, or any of their political subdivisions or instrumentalities. </w:t>
                      </w:r>
                    </w:p>
                    <w:p>
                      <w:pPr>
                        <w:pStyle w:val="TextBody"/>
                        <w:bidi w:val="0"/>
                        <w:spacing w:before="40" w:after="0"/>
                        <w:jc w:val="left"/>
                        <w:rPr>
                          <w:rFonts w:ascii="Times New Roman" w:hAnsi="Times New Roman"/>
                          <w:sz w:val="16"/>
                        </w:rPr>
                      </w:pPr>
                      <w:r>
                        <w:rPr>
                          <w:rFonts w:ascii="Times New Roman" w:hAnsi="Times New Roman"/>
                          <w:sz w:val="16"/>
                        </w:rPr>
                        <w:t xml:space="preserve">4 — A foreign government or any of its political subdivisions, agencies, or instrumentalities. </w:t>
                      </w:r>
                    </w:p>
                    <w:p>
                      <w:pPr>
                        <w:pStyle w:val="TextBody"/>
                        <w:bidi w:val="0"/>
                        <w:spacing w:before="120" w:after="0"/>
                        <w:jc w:val="left"/>
                        <w:rPr>
                          <w:rFonts w:ascii="Times New Roman" w:hAnsi="Times New Roman"/>
                          <w:sz w:val="16"/>
                        </w:rPr>
                      </w:pPr>
                      <w:r>
                        <w:rPr>
                          <w:rFonts w:ascii="Times New Roman" w:hAnsi="Times New Roman"/>
                          <w:sz w:val="16"/>
                        </w:rPr>
                        <w:t xml:space="preserve">5 — A corporation. </w:t>
                      </w:r>
                    </w:p>
                    <w:p>
                      <w:pPr>
                        <w:pStyle w:val="TextBody"/>
                        <w:bidi w:val="0"/>
                        <w:spacing w:before="40" w:after="0"/>
                        <w:jc w:val="left"/>
                        <w:rPr>
                          <w:rFonts w:ascii="Times New Roman" w:hAnsi="Times New Roman"/>
                          <w:sz w:val="16"/>
                        </w:rPr>
                      </w:pPr>
                      <w:r>
                        <w:rPr>
                          <w:rFonts w:ascii="Times New Roman" w:hAnsi="Times New Roman"/>
                          <w:sz w:val="16"/>
                        </w:rPr>
                        <w:t xml:space="preserve">6 — A dealer in securities or commodities required to register in the United States, the District of Columbia, or a U.S. commonwealth or territory. </w:t>
                      </w:r>
                    </w:p>
                    <w:p>
                      <w:pPr>
                        <w:pStyle w:val="TextBody"/>
                        <w:bidi w:val="0"/>
                        <w:spacing w:before="40" w:after="0"/>
                        <w:jc w:val="left"/>
                        <w:rPr>
                          <w:rFonts w:ascii="Times New Roman" w:hAnsi="Times New Roman"/>
                          <w:sz w:val="16"/>
                        </w:rPr>
                      </w:pPr>
                      <w:r>
                        <w:rPr>
                          <w:rFonts w:ascii="Times New Roman" w:hAnsi="Times New Roman"/>
                          <w:sz w:val="16"/>
                        </w:rPr>
                        <w:t xml:space="preserve">7 — A futures commission merchant registered with the Commodity Futures Trading Commission. </w:t>
                      </w:r>
                    </w:p>
                    <w:p>
                      <w:pPr>
                        <w:pStyle w:val="TextBody"/>
                        <w:bidi w:val="0"/>
                        <w:spacing w:before="40" w:after="0"/>
                        <w:jc w:val="left"/>
                        <w:rPr>
                          <w:rFonts w:ascii="Times New Roman" w:hAnsi="Times New Roman"/>
                          <w:sz w:val="16"/>
                        </w:rPr>
                      </w:pPr>
                      <w:r>
                        <w:rPr>
                          <w:rFonts w:ascii="Times New Roman" w:hAnsi="Times New Roman"/>
                          <w:sz w:val="16"/>
                        </w:rPr>
                        <w:t xml:space="preserve">8 — A real estate investment trust. </w:t>
                      </w:r>
                    </w:p>
                    <w:p>
                      <w:pPr>
                        <w:pStyle w:val="TextBody"/>
                        <w:bidi w:val="0"/>
                        <w:spacing w:before="40" w:after="0"/>
                        <w:jc w:val="left"/>
                        <w:rPr>
                          <w:rFonts w:ascii="Times New Roman" w:hAnsi="Times New Roman"/>
                          <w:sz w:val="16"/>
                        </w:rPr>
                      </w:pPr>
                      <w:r>
                        <w:rPr>
                          <w:rFonts w:ascii="Times New Roman" w:hAnsi="Times New Roman"/>
                          <w:sz w:val="16"/>
                        </w:rPr>
                        <w:t xml:space="preserve">9 — An entity registered at all times during the tax year under the Investment Company Act of 1940. </w:t>
                      </w:r>
                    </w:p>
                    <w:p>
                      <w:pPr>
                        <w:pStyle w:val="TextBody"/>
                        <w:bidi w:val="0"/>
                        <w:spacing w:before="40" w:after="0"/>
                        <w:jc w:val="left"/>
                        <w:rPr>
                          <w:rFonts w:ascii="Times New Roman" w:hAnsi="Times New Roman"/>
                          <w:sz w:val="16"/>
                        </w:rPr>
                      </w:pPr>
                      <w:r>
                        <w:rPr>
                          <w:rFonts w:ascii="Times New Roman" w:hAnsi="Times New Roman"/>
                          <w:sz w:val="16"/>
                        </w:rPr>
                        <w:t xml:space="preserve">10 — A common trust fund operated by a bank under section 584(a). </w:t>
                      </w:r>
                    </w:p>
                    <w:p>
                      <w:pPr>
                        <w:pStyle w:val="TextBody"/>
                        <w:bidi w:val="0"/>
                        <w:spacing w:before="40" w:after="0"/>
                        <w:jc w:val="left"/>
                        <w:rPr>
                          <w:rFonts w:ascii="Times New Roman" w:hAnsi="Times New Roman"/>
                          <w:sz w:val="16"/>
                        </w:rPr>
                      </w:pPr>
                      <w:r>
                        <w:rPr>
                          <w:rFonts w:ascii="Times New Roman" w:hAnsi="Times New Roman"/>
                          <w:sz w:val="16"/>
                        </w:rPr>
                        <w:t xml:space="preserve">11 — A financial institution as defined under section 581. </w:t>
                      </w:r>
                    </w:p>
                    <w:p>
                      <w:pPr>
                        <w:pStyle w:val="TextBody"/>
                        <w:bidi w:val="0"/>
                        <w:spacing w:before="40" w:after="0"/>
                        <w:jc w:val="left"/>
                        <w:rPr>
                          <w:rFonts w:ascii="Times New Roman" w:hAnsi="Times New Roman"/>
                          <w:sz w:val="16"/>
                        </w:rPr>
                      </w:pPr>
                      <w:r>
                        <w:rPr>
                          <w:rFonts w:ascii="Times New Roman" w:hAnsi="Times New Roman"/>
                          <w:sz w:val="16"/>
                        </w:rPr>
                        <w:t xml:space="preserve">12 — A middleman known in the investment community as a nominee or custodian. </w:t>
                      </w:r>
                    </w:p>
                    <w:p>
                      <w:pPr>
                        <w:pStyle w:val="TextBody"/>
                        <w:bidi w:val="0"/>
                        <w:spacing w:before="40" w:after="0"/>
                        <w:jc w:val="left"/>
                        <w:rPr>
                          <w:rFonts w:ascii="Times New Roman" w:hAnsi="Times New Roman"/>
                          <w:sz w:val="16"/>
                        </w:rPr>
                      </w:pPr>
                      <w:r>
                        <w:rPr>
                          <w:rFonts w:ascii="Times New Roman" w:hAnsi="Times New Roman"/>
                          <w:sz w:val="16"/>
                        </w:rPr>
                        <w:t xml:space="preserve">13 — A trust exempt from tax under section 664 or described in section 4947. </w:t>
                      </w:r>
                    </w:p>
                    <w:p>
                      <w:pPr>
                        <w:pStyle w:val="TextBody"/>
                        <w:bidi w:val="0"/>
                        <w:spacing w:before="40" w:after="0"/>
                        <w:jc w:val="left"/>
                        <w:rPr>
                          <w:rFonts w:ascii="Times New Roman" w:hAnsi="Times New Roman"/>
                          <w:sz w:val="16"/>
                        </w:rPr>
                      </w:pPr>
                      <w:r>
                        <w:rPr>
                          <w:rFonts w:ascii="Times New Roman" w:hAnsi="Times New Roman"/>
                          <w:sz w:val="16"/>
                        </w:rPr>
                        <w:t xml:space="preserve">The following chart shows types of payments that may be exempt from backup withholding. The chart applies to the exempt payees listed above, 1 through 13.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74"/>
                        <w:gridCol w:w="101"/>
                        <w:gridCol w:w="2323"/>
                      </w:tblGrid>
                      <w:tr>
                        <w:trPr/>
                        <w:tc>
                          <w:tcPr>
                            <w:tcW w:w="247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r>
                      <w:tr>
                        <w:trPr/>
                        <w:tc>
                          <w:tcPr>
                            <w:tcW w:w="2474" w:type="dxa"/>
                            <w:tcBorders>
                              <w:top w:val="single" w:sz="2" w:space="0" w:color="000000"/>
                              <w:bottom w:val="single" w:sz="2" w:space="0" w:color="000000"/>
                            </w:tcBorders>
                            <w:tcMar>
                              <w:top w:w="28" w:type="dxa"/>
                              <w:bottom w:w="28" w:type="dxa"/>
                            </w:tcMar>
                          </w:tcPr>
                          <w:p>
                            <w:pPr>
                              <w:pStyle w:val="TableContents"/>
                              <w:bidi w:val="0"/>
                              <w:spacing w:before="0" w:after="283"/>
                              <w:jc w:val="left"/>
                              <w:rPr>
                                <w:b/>
                              </w:rPr>
                            </w:pPr>
                            <w:r>
                              <w:rPr>
                                <w:b/>
                              </w:rPr>
                              <w:t>IF the payment is for...</w:t>
                            </w:r>
                          </w:p>
                        </w:tc>
                        <w:tc>
                          <w:tcPr>
                            <w:tcW w:w="10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323" w:type="dxa"/>
                            <w:tcBorders>
                              <w:top w:val="single" w:sz="2" w:space="0" w:color="000000"/>
                              <w:bottom w:val="single" w:sz="2" w:space="0" w:color="000000"/>
                            </w:tcBorders>
                            <w:tcMar>
                              <w:top w:w="28" w:type="dxa"/>
                              <w:bottom w:w="28" w:type="dxa"/>
                            </w:tcMar>
                          </w:tcPr>
                          <w:p>
                            <w:pPr>
                              <w:pStyle w:val="TableContents"/>
                              <w:bidi w:val="0"/>
                              <w:spacing w:before="0" w:after="283"/>
                              <w:jc w:val="left"/>
                              <w:rPr>
                                <w:b/>
                              </w:rPr>
                            </w:pPr>
                            <w:r>
                              <w:rPr>
                                <w:b/>
                              </w:rPr>
                              <w:t>THEN the payment is exempt</w:t>
                              <w:br/>
                              <w:t>for...</w:t>
                            </w:r>
                          </w:p>
                        </w:tc>
                      </w:tr>
                      <w:tr>
                        <w:trPr/>
                        <w:tc>
                          <w:tcPr>
                            <w:tcW w:w="2474" w:type="dxa"/>
                            <w:tcBorders>
                              <w:bottom w:val="single" w:sz="2" w:space="0" w:color="000000"/>
                            </w:tcBorders>
                            <w:tcMar>
                              <w:bottom w:w="28" w:type="dxa"/>
                            </w:tcMar>
                          </w:tcPr>
                          <w:p>
                            <w:pPr>
                              <w:pStyle w:val="TableContents"/>
                              <w:bidi w:val="0"/>
                              <w:spacing w:before="0" w:after="283"/>
                              <w:jc w:val="left"/>
                              <w:rPr/>
                            </w:pPr>
                            <w:r>
                              <w:rPr/>
                              <w:t> Interest and dividend payments</w:t>
                            </w:r>
                          </w:p>
                        </w:tc>
                        <w:tc>
                          <w:tcPr>
                            <w:tcW w:w="10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323" w:type="dxa"/>
                            <w:tcBorders>
                              <w:bottom w:val="single" w:sz="2" w:space="0" w:color="000000"/>
                            </w:tcBorders>
                            <w:tcMar>
                              <w:bottom w:w="28" w:type="dxa"/>
                            </w:tcMar>
                          </w:tcPr>
                          <w:p>
                            <w:pPr>
                              <w:pStyle w:val="TableContents"/>
                              <w:bidi w:val="0"/>
                              <w:spacing w:before="0" w:after="283"/>
                              <w:jc w:val="left"/>
                              <w:rPr/>
                            </w:pPr>
                            <w:r>
                              <w:rPr/>
                              <w:t>All exempt payees except for 7.</w:t>
                            </w:r>
                          </w:p>
                        </w:tc>
                      </w:tr>
                      <w:tr>
                        <w:trPr/>
                        <w:tc>
                          <w:tcPr>
                            <w:tcW w:w="2474" w:type="dxa"/>
                            <w:tcBorders>
                              <w:bottom w:val="single" w:sz="2" w:space="0" w:color="000000"/>
                            </w:tcBorders>
                            <w:tcMar>
                              <w:bottom w:w="28" w:type="dxa"/>
                            </w:tcMar>
                          </w:tcPr>
                          <w:p>
                            <w:pPr>
                              <w:pStyle w:val="TableContents"/>
                              <w:bidi w:val="0"/>
                              <w:spacing w:before="0" w:after="283"/>
                              <w:jc w:val="left"/>
                              <w:rPr/>
                            </w:pPr>
                            <w:r>
                              <w:rPr/>
                              <w:t> Broker transactions</w:t>
                            </w:r>
                          </w:p>
                        </w:tc>
                        <w:tc>
                          <w:tcPr>
                            <w:tcW w:w="10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323" w:type="dxa"/>
                            <w:tcBorders>
                              <w:bottom w:val="single" w:sz="2" w:space="0" w:color="000000"/>
                            </w:tcBorders>
                            <w:tcMar>
                              <w:bottom w:w="28" w:type="dxa"/>
                            </w:tcMar>
                          </w:tcPr>
                          <w:p>
                            <w:pPr>
                              <w:pStyle w:val="TableContents"/>
                              <w:bidi w:val="0"/>
                              <w:spacing w:before="0" w:after="283"/>
                              <w:jc w:val="left"/>
                              <w:rPr/>
                            </w:pPr>
                            <w:r>
                              <w:rPr/>
                              <w:t>Exempt payees 1 through 4 and 6 through 11 and all C corporations. S corporations must not enter an exempt payee code because they are exempt only for sales of noncovered securities acquired prior to 2012.</w:t>
                            </w:r>
                          </w:p>
                        </w:tc>
                      </w:tr>
                      <w:tr>
                        <w:trPr/>
                        <w:tc>
                          <w:tcPr>
                            <w:tcW w:w="2474" w:type="dxa"/>
                            <w:tcBorders>
                              <w:bottom w:val="single" w:sz="2" w:space="0" w:color="000000"/>
                            </w:tcBorders>
                            <w:tcMar>
                              <w:bottom w:w="28" w:type="dxa"/>
                            </w:tcMar>
                          </w:tcPr>
                          <w:p>
                            <w:pPr>
                              <w:pStyle w:val="TableContents"/>
                              <w:bidi w:val="0"/>
                              <w:spacing w:before="0" w:after="283"/>
                              <w:jc w:val="left"/>
                              <w:rPr/>
                            </w:pPr>
                            <w:r>
                              <w:rPr/>
                              <w:t> Barter exchange transactions and patronage dividends</w:t>
                            </w:r>
                          </w:p>
                        </w:tc>
                        <w:tc>
                          <w:tcPr>
                            <w:tcW w:w="10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323" w:type="dxa"/>
                            <w:tcBorders>
                              <w:bottom w:val="single" w:sz="2" w:space="0" w:color="000000"/>
                            </w:tcBorders>
                            <w:tcMar>
                              <w:bottom w:w="28" w:type="dxa"/>
                            </w:tcMar>
                          </w:tcPr>
                          <w:p>
                            <w:pPr>
                              <w:pStyle w:val="TableContents"/>
                              <w:bidi w:val="0"/>
                              <w:spacing w:before="0" w:after="283"/>
                              <w:jc w:val="left"/>
                              <w:rPr/>
                            </w:pPr>
                            <w:r>
                              <w:rPr/>
                              <w:t>Exempt payees 1 through 4.</w:t>
                            </w:r>
                          </w:p>
                        </w:tc>
                      </w:tr>
                      <w:tr>
                        <w:trPr/>
                        <w:tc>
                          <w:tcPr>
                            <w:tcW w:w="2474" w:type="dxa"/>
                            <w:tcBorders>
                              <w:bottom w:val="single" w:sz="2" w:space="0" w:color="000000"/>
                            </w:tcBorders>
                            <w:tcMar>
                              <w:bottom w:w="28" w:type="dxa"/>
                            </w:tcMar>
                          </w:tcPr>
                          <w:p>
                            <w:pPr>
                              <w:pStyle w:val="TableContents"/>
                              <w:bidi w:val="0"/>
                              <w:spacing w:before="0" w:after="283"/>
                              <w:jc w:val="left"/>
                              <w:rPr/>
                            </w:pPr>
                            <w:r>
                              <w:rPr/>
                              <w:t> Payments over $600 required to be reported and direct sales over $5,000</w:t>
                            </w:r>
                          </w:p>
                        </w:tc>
                        <w:tc>
                          <w:tcPr>
                            <w:tcW w:w="10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323" w:type="dxa"/>
                            <w:tcBorders>
                              <w:bottom w:val="single" w:sz="2" w:space="0" w:color="000000"/>
                            </w:tcBorders>
                            <w:tcMar>
                              <w:bottom w:w="28" w:type="dxa"/>
                            </w:tcMar>
                          </w:tcPr>
                          <w:p>
                            <w:pPr>
                              <w:pStyle w:val="TableContents"/>
                              <w:bidi w:val="0"/>
                              <w:spacing w:before="0" w:after="283"/>
                              <w:jc w:val="left"/>
                              <w:rPr/>
                            </w:pPr>
                            <w:r>
                              <w:rPr/>
                              <w:t>Generally, exempt payees 1 through 5.</w:t>
                            </w:r>
                          </w:p>
                        </w:tc>
                      </w:tr>
                      <w:tr>
                        <w:trPr/>
                        <w:tc>
                          <w:tcPr>
                            <w:tcW w:w="2474" w:type="dxa"/>
                            <w:tcBorders>
                              <w:bottom w:val="single" w:sz="2" w:space="0" w:color="000000"/>
                            </w:tcBorders>
                            <w:tcMar>
                              <w:bottom w:w="28" w:type="dxa"/>
                            </w:tcMar>
                          </w:tcPr>
                          <w:p>
                            <w:pPr>
                              <w:pStyle w:val="TableContents"/>
                              <w:bidi w:val="0"/>
                              <w:spacing w:before="0" w:after="283"/>
                              <w:jc w:val="left"/>
                              <w:rPr/>
                            </w:pPr>
                            <w:r>
                              <w:rPr/>
                              <w:t> Payments made in settlement of payment card or third-party network transactions</w:t>
                            </w:r>
                          </w:p>
                        </w:tc>
                        <w:tc>
                          <w:tcPr>
                            <w:tcW w:w="10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323" w:type="dxa"/>
                            <w:tcBorders>
                              <w:bottom w:val="single" w:sz="2" w:space="0" w:color="000000"/>
                            </w:tcBorders>
                            <w:tcMar>
                              <w:bottom w:w="28" w:type="dxa"/>
                            </w:tcMar>
                          </w:tcPr>
                          <w:p>
                            <w:pPr>
                              <w:pStyle w:val="TableContents"/>
                              <w:bidi w:val="0"/>
                              <w:spacing w:before="0" w:after="283"/>
                              <w:jc w:val="left"/>
                              <w:rPr/>
                            </w:pPr>
                            <w:r>
                              <w:rPr/>
                              <w:t>Exempt payees 1 through 4.</w:t>
                            </w:r>
                          </w:p>
                        </w:tc>
                      </w:tr>
                    </w:tbl>
                    <w:p>
                      <w:pPr>
                        <w:pStyle w:val="TextBody"/>
                        <w:bidi w:val="0"/>
                        <w:spacing w:before="0" w:after="0"/>
                        <w:jc w:val="left"/>
                        <w:rPr>
                          <w:rFonts w:ascii="Times New Roman" w:hAnsi="Times New Roman"/>
                          <w:sz w:val="16"/>
                        </w:rPr>
                      </w:pPr>
                      <w:r>
                        <w:rPr>
                          <w:rFonts w:ascii="Times New Roman" w:hAnsi="Times New Roman"/>
                          <w:sz w:val="16"/>
                        </w:rPr>
                        <w:t xml:space="preserve">See Form 1099-MISC, Miscellaneous Information, and its instructions. </w:t>
                      </w:r>
                    </w:p>
                    <w:p>
                      <w:pPr>
                        <w:pStyle w:val="TextBody"/>
                        <w:bidi w:val="0"/>
                        <w:spacing w:before="40" w:after="0"/>
                        <w:jc w:val="left"/>
                        <w:rPr>
                          <w:rFonts w:ascii="Times New Roman" w:hAnsi="Times New Roman"/>
                          <w:sz w:val="16"/>
                        </w:rPr>
                      </w:pPr>
                      <w:r>
                        <w:rPr>
                          <w:rFonts w:ascii="Times New Roman" w:hAnsi="Times New Roman"/>
                          <w:sz w:val="16"/>
                        </w:rPr>
                        <w:t xml:space="preserve">However, the following payments made to a corporation and reportable on Form 1099-MISC are not exempt from backup withholding: medical and health care payments, attorneys’ fees, gross proceeds paid to an attorney reportable under section 6045(f), and payments for services paid by a federal executive agency. </w:t>
                      </w:r>
                    </w:p>
                    <w:p>
                      <w:pPr>
                        <w:pStyle w:val="TextBody"/>
                        <w:bidi w:val="0"/>
                        <w:spacing w:before="40" w:after="0"/>
                        <w:jc w:val="left"/>
                        <w:rPr>
                          <w:rFonts w:ascii="Times New Roman" w:hAnsi="Times New Roman"/>
                          <w:sz w:val="16"/>
                        </w:rPr>
                      </w:pPr>
                      <w:r>
                        <w:rPr>
                          <w:rFonts w:ascii="Times New Roman" w:hAnsi="Times New Roman"/>
                          <w:b/>
                          <w:sz w:val="16"/>
                        </w:rPr>
                        <w:t>Exemption from FATCA reporting code.</w:t>
                      </w:r>
                      <w:r>
                        <w:rPr>
                          <w:rFonts w:ascii="Times New Roman" w:hAnsi="Times New Roman"/>
                          <w:sz w:val="16"/>
                        </w:rPr>
                        <w:t xml:space="preserve"> The following codes identify payees that are exempt from reporting under FATCA. These codes apply to persons submitting this form for accounts maintained outside of the United States by certain foreign financial institutions. Therefore, if you are only submitting this form for an account you hold in the United States, you may leave this field blank. Consult with the person requesting this form if you are uncertain if the financial institution is subject to these </w:t>
                      </w:r>
                    </w:p>
                  </w:txbxContent>
                </v:textbox>
                <w10:wrap type="square" side="right"/>
              </v:rect>
            </w:pict>
          </mc:Fallback>
        </mc:AlternateConten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3175000" cy="8070850"/>
                <wp:effectExtent l="0" t="0" r="0" b="0"/>
                <wp:wrapSquare wrapText="right"/>
                <wp:docPr id="12" name="Frame8"/>
                <a:graphic xmlns:a="http://schemas.openxmlformats.org/drawingml/2006/main">
                  <a:graphicData uri="http://schemas.microsoft.com/office/word/2010/wordprocessingShape">
                    <wps:wsp>
                      <wps:cNvSpPr txBox="1"/>
                      <wps:spPr>
                        <a:xfrm>
                          <a:off x="0" y="0"/>
                          <a:ext cx="3175000" cy="8070850"/>
                        </a:xfrm>
                        <a:prstGeom prst="rect"/>
                        <a:solidFill>
                          <a:srgbClr val="FFFFFF"/>
                        </a:solidFill>
                      </wps:spPr>
                      <wps:txbx>
                        <w:txbxContent>
                          <w:p>
                            <w:pPr>
                              <w:pStyle w:val="TextBody"/>
                              <w:bidi w:val="0"/>
                              <w:spacing w:before="0" w:after="0"/>
                              <w:jc w:val="left"/>
                              <w:rPr>
                                <w:rFonts w:ascii="Times New Roman" w:hAnsi="Times New Roman"/>
                                <w:sz w:val="16"/>
                              </w:rPr>
                            </w:pPr>
                            <w:r>
                              <w:rPr>
                                <w:rFonts w:ascii="Times New Roman" w:hAnsi="Times New Roman"/>
                                <w:sz w:val="16"/>
                              </w:rPr>
                              <w:t xml:space="preserve">requirements. A requester may indicate that a code is not required by providing you with a Form W-9 with “Not Applicable” (or any similar indication) entered on the line for a FATCA exemption code. </w:t>
                            </w:r>
                          </w:p>
                          <w:p>
                            <w:pPr>
                              <w:pStyle w:val="TextBody"/>
                              <w:bidi w:val="0"/>
                              <w:spacing w:before="40" w:after="0"/>
                              <w:jc w:val="left"/>
                              <w:rPr>
                                <w:rFonts w:ascii="Times New Roman" w:hAnsi="Times New Roman"/>
                                <w:sz w:val="16"/>
                              </w:rPr>
                            </w:pPr>
                            <w:r>
                              <w:rPr>
                                <w:rFonts w:ascii="Times New Roman" w:hAnsi="Times New Roman"/>
                                <w:sz w:val="16"/>
                              </w:rPr>
                              <w:t xml:space="preserve">A — An organization exempt from tax under section 501(a) or any individual retirement plan as defined in section 7701(a)(37). </w:t>
                            </w:r>
                          </w:p>
                          <w:p>
                            <w:pPr>
                              <w:pStyle w:val="TextBody"/>
                              <w:bidi w:val="0"/>
                              <w:spacing w:before="40" w:after="0"/>
                              <w:jc w:val="left"/>
                              <w:rPr>
                                <w:rFonts w:ascii="Times New Roman" w:hAnsi="Times New Roman"/>
                                <w:sz w:val="16"/>
                              </w:rPr>
                            </w:pPr>
                            <w:r>
                              <w:rPr>
                                <w:rFonts w:ascii="Times New Roman" w:hAnsi="Times New Roman"/>
                                <w:sz w:val="16"/>
                              </w:rPr>
                              <w:t xml:space="preserve">B — The United States or any of its agencies or instrumentalities. </w:t>
                            </w:r>
                          </w:p>
                          <w:p>
                            <w:pPr>
                              <w:pStyle w:val="TextBody"/>
                              <w:bidi w:val="0"/>
                              <w:spacing w:before="40" w:after="0"/>
                              <w:jc w:val="left"/>
                              <w:rPr>
                                <w:rFonts w:ascii="Times New Roman" w:hAnsi="Times New Roman"/>
                                <w:sz w:val="16"/>
                              </w:rPr>
                            </w:pPr>
                            <w:r>
                              <w:rPr>
                                <w:rFonts w:ascii="Times New Roman" w:hAnsi="Times New Roman"/>
                                <w:sz w:val="16"/>
                              </w:rPr>
                              <w:t xml:space="preserve">C — A state, the District of Columbia, a U.S. commonwealth or territory, or any of their political subdivisions or instrumentalities. </w:t>
                            </w:r>
                          </w:p>
                          <w:p>
                            <w:pPr>
                              <w:pStyle w:val="TextBody"/>
                              <w:bidi w:val="0"/>
                              <w:spacing w:before="40" w:after="0"/>
                              <w:jc w:val="left"/>
                              <w:rPr>
                                <w:rFonts w:ascii="Times New Roman" w:hAnsi="Times New Roman"/>
                                <w:sz w:val="16"/>
                              </w:rPr>
                            </w:pPr>
                            <w:r>
                              <w:rPr>
                                <w:rFonts w:ascii="Times New Roman" w:hAnsi="Times New Roman"/>
                                <w:sz w:val="16"/>
                              </w:rPr>
                              <w:t>D — A corporation the stock of which is regularly traded on one or more established securities markets, as described in Regulations section 1.1472-1(c)(1)(i).</w:t>
                            </w:r>
                          </w:p>
                          <w:p>
                            <w:pPr>
                              <w:pStyle w:val="TextBody"/>
                              <w:bidi w:val="0"/>
                              <w:spacing w:before="40" w:after="0"/>
                              <w:jc w:val="left"/>
                              <w:rPr>
                                <w:rFonts w:ascii="Times New Roman" w:hAnsi="Times New Roman"/>
                                <w:sz w:val="16"/>
                              </w:rPr>
                            </w:pPr>
                            <w:r>
                              <w:rPr>
                                <w:rFonts w:ascii="Times New Roman" w:hAnsi="Times New Roman"/>
                                <w:sz w:val="16"/>
                              </w:rPr>
                              <w:t>E — A corporation that is a member of the same expanded affiliated group as a corporation described in Regulations section 1.1472-1(c)(1)(i).</w:t>
                            </w:r>
                          </w:p>
                          <w:p>
                            <w:pPr>
                              <w:pStyle w:val="TextBody"/>
                              <w:bidi w:val="0"/>
                              <w:spacing w:before="40" w:after="0"/>
                              <w:jc w:val="left"/>
                              <w:rPr>
                                <w:rFonts w:ascii="Times New Roman" w:hAnsi="Times New Roman"/>
                                <w:sz w:val="16"/>
                              </w:rPr>
                            </w:pPr>
                            <w:r>
                              <w:rPr>
                                <w:rFonts w:ascii="Times New Roman" w:hAnsi="Times New Roman"/>
                                <w:sz w:val="16"/>
                              </w:rPr>
                              <w:t xml:space="preserve">F — A dealer in securities, commodities, or derivative financial instruments (including notional principal contracts, futures, forwards, and options) that is registered as such under the laws of the United States or any state. </w:t>
                            </w:r>
                          </w:p>
                          <w:p>
                            <w:pPr>
                              <w:pStyle w:val="TextBody"/>
                              <w:bidi w:val="0"/>
                              <w:spacing w:before="40" w:after="0"/>
                              <w:jc w:val="left"/>
                              <w:rPr>
                                <w:rFonts w:ascii="Times New Roman" w:hAnsi="Times New Roman"/>
                                <w:sz w:val="16"/>
                              </w:rPr>
                            </w:pPr>
                            <w:r>
                              <w:rPr>
                                <w:rFonts w:ascii="Times New Roman" w:hAnsi="Times New Roman"/>
                                <w:sz w:val="16"/>
                              </w:rPr>
                              <w:t xml:space="preserve">G — A real estate investment trust. </w:t>
                            </w:r>
                          </w:p>
                          <w:p>
                            <w:pPr>
                              <w:pStyle w:val="TextBody"/>
                              <w:bidi w:val="0"/>
                              <w:spacing w:before="40" w:after="0"/>
                              <w:jc w:val="left"/>
                              <w:rPr>
                                <w:rFonts w:ascii="Times New Roman" w:hAnsi="Times New Roman"/>
                                <w:sz w:val="16"/>
                              </w:rPr>
                            </w:pPr>
                            <w:r>
                              <w:rPr>
                                <w:rFonts w:ascii="Times New Roman" w:hAnsi="Times New Roman"/>
                                <w:sz w:val="16"/>
                              </w:rPr>
                              <w:t xml:space="preserve">H — A regulated investment company as defined in section 851 or an entity registered at all times during the tax year under the Investment Company Act of 1940. </w:t>
                            </w:r>
                          </w:p>
                          <w:p>
                            <w:pPr>
                              <w:pStyle w:val="TextBody"/>
                              <w:bidi w:val="0"/>
                              <w:spacing w:before="40" w:after="0"/>
                              <w:jc w:val="left"/>
                              <w:rPr>
                                <w:rFonts w:ascii="Times New Roman" w:hAnsi="Times New Roman"/>
                                <w:sz w:val="16"/>
                              </w:rPr>
                            </w:pPr>
                            <w:r>
                              <w:rPr>
                                <w:rFonts w:ascii="Times New Roman" w:hAnsi="Times New Roman"/>
                                <w:sz w:val="16"/>
                              </w:rPr>
                              <w:t xml:space="preserve">I — A common trust fund as defined in section 584(a). </w:t>
                            </w:r>
                          </w:p>
                          <w:p>
                            <w:pPr>
                              <w:pStyle w:val="TextBody"/>
                              <w:bidi w:val="0"/>
                              <w:spacing w:before="40" w:after="0"/>
                              <w:jc w:val="left"/>
                              <w:rPr>
                                <w:rFonts w:ascii="Times New Roman" w:hAnsi="Times New Roman"/>
                                <w:sz w:val="16"/>
                              </w:rPr>
                            </w:pPr>
                            <w:r>
                              <w:rPr>
                                <w:rFonts w:ascii="Times New Roman" w:hAnsi="Times New Roman"/>
                                <w:sz w:val="16"/>
                              </w:rPr>
                              <w:t xml:space="preserve">J — A bank as defined in section 581. </w:t>
                            </w:r>
                          </w:p>
                          <w:p>
                            <w:pPr>
                              <w:pStyle w:val="TextBody"/>
                              <w:bidi w:val="0"/>
                              <w:spacing w:before="40" w:after="0"/>
                              <w:jc w:val="left"/>
                              <w:rPr>
                                <w:rFonts w:ascii="Times New Roman" w:hAnsi="Times New Roman"/>
                                <w:sz w:val="16"/>
                              </w:rPr>
                            </w:pPr>
                            <w:r>
                              <w:rPr>
                                <w:rFonts w:ascii="Times New Roman" w:hAnsi="Times New Roman"/>
                                <w:sz w:val="16"/>
                              </w:rPr>
                              <w:t xml:space="preserve">K — A broker. </w:t>
                            </w:r>
                          </w:p>
                          <w:p>
                            <w:pPr>
                              <w:pStyle w:val="TextBody"/>
                              <w:bidi w:val="0"/>
                              <w:spacing w:before="40" w:after="0"/>
                              <w:jc w:val="left"/>
                              <w:rPr>
                                <w:rFonts w:ascii="Times New Roman" w:hAnsi="Times New Roman"/>
                                <w:sz w:val="16"/>
                              </w:rPr>
                            </w:pPr>
                            <w:r>
                              <w:rPr>
                                <w:rFonts w:ascii="Times New Roman" w:hAnsi="Times New Roman"/>
                                <w:sz w:val="16"/>
                              </w:rPr>
                              <w:t xml:space="preserve">L — A trust exempt from tax under section 664 or described in section 4947(a)(1). </w:t>
                            </w:r>
                          </w:p>
                          <w:p>
                            <w:pPr>
                              <w:pStyle w:val="TextBody"/>
                              <w:bidi w:val="0"/>
                              <w:spacing w:before="40" w:after="0"/>
                              <w:jc w:val="left"/>
                              <w:rPr>
                                <w:rFonts w:ascii="Times New Roman" w:hAnsi="Times New Roman"/>
                                <w:sz w:val="16"/>
                              </w:rPr>
                            </w:pPr>
                            <w:r>
                              <w:rPr>
                                <w:rFonts w:ascii="Times New Roman" w:hAnsi="Times New Roman"/>
                                <w:sz w:val="16"/>
                              </w:rPr>
                              <w:t xml:space="preserve">M — A tax-exempt trust under a section 403(b) plan or section 457(g) plan. </w:t>
                            </w:r>
                          </w:p>
                          <w:p>
                            <w:pPr>
                              <w:pStyle w:val="TextBody"/>
                              <w:bidi w:val="0"/>
                              <w:spacing w:before="40" w:after="0"/>
                              <w:jc w:val="left"/>
                              <w:rPr>
                                <w:rFonts w:ascii="Times New Roman" w:hAnsi="Times New Roman"/>
                                <w:sz w:val="16"/>
                              </w:rPr>
                            </w:pPr>
                            <w:r>
                              <w:rPr>
                                <w:rFonts w:ascii="Times New Roman" w:hAnsi="Times New Roman"/>
                                <w:b/>
                                <w:sz w:val="16"/>
                              </w:rPr>
                              <w:t>Note:</w:t>
                            </w:r>
                            <w:r>
                              <w:rPr>
                                <w:rFonts w:ascii="Times New Roman" w:hAnsi="Times New Roman"/>
                                <w:sz w:val="16"/>
                              </w:rPr>
                              <w:t xml:space="preserve"> You may wish to consult with the financial institution requesting this form to determine whether the FATCA code and/or exempt payee code should be completed. </w:t>
                            </w:r>
                          </w:p>
                          <w:p>
                            <w:pPr>
                              <w:pStyle w:val="TextBody"/>
                              <w:bidi w:val="0"/>
                              <w:spacing w:before="120" w:after="0"/>
                              <w:jc w:val="left"/>
                              <w:rPr>
                                <w:rFonts w:ascii="Times New Roman" w:hAnsi="Times New Roman"/>
                                <w:b/>
                                <w:sz w:val="22"/>
                              </w:rPr>
                            </w:pPr>
                            <w:r>
                              <w:rPr>
                                <w:rFonts w:ascii="Times New Roman" w:hAnsi="Times New Roman"/>
                                <w:b/>
                                <w:sz w:val="22"/>
                              </w:rPr>
                              <w:t xml:space="preserve">Line 5 </w:t>
                            </w:r>
                          </w:p>
                          <w:p>
                            <w:pPr>
                              <w:pStyle w:val="TextBody"/>
                              <w:bidi w:val="0"/>
                              <w:spacing w:before="120" w:after="0"/>
                              <w:jc w:val="left"/>
                              <w:rPr>
                                <w:rFonts w:ascii="Times New Roman" w:hAnsi="Times New Roman"/>
                                <w:sz w:val="16"/>
                              </w:rPr>
                            </w:pPr>
                            <w:r>
                              <w:rPr>
                                <w:rFonts w:ascii="Times New Roman" w:hAnsi="Times New Roman"/>
                                <w:sz w:val="16"/>
                              </w:rPr>
                              <w:t xml:space="preserve">Enter your address (number, street, and apartment or suite number). This is where the requester of this Form W-9 will mail your information returns. If this address differs from the one the requester already has on file, enter “NEW” at the top. If a new address is provided, there is still a chance the old address will be used until the payor changes your address in their records. </w:t>
                            </w:r>
                          </w:p>
                          <w:p>
                            <w:pPr>
                              <w:pStyle w:val="TextBody"/>
                              <w:bidi w:val="0"/>
                              <w:spacing w:before="120" w:after="0"/>
                              <w:jc w:val="left"/>
                              <w:rPr>
                                <w:rFonts w:ascii="Times New Roman" w:hAnsi="Times New Roman"/>
                                <w:b/>
                                <w:sz w:val="22"/>
                              </w:rPr>
                            </w:pPr>
                            <w:r>
                              <w:rPr>
                                <w:rFonts w:ascii="Times New Roman" w:hAnsi="Times New Roman"/>
                                <w:b/>
                                <w:sz w:val="22"/>
                              </w:rPr>
                              <w:t xml:space="preserve">Line 6 </w:t>
                            </w:r>
                          </w:p>
                          <w:p>
                            <w:pPr>
                              <w:pStyle w:val="TextBody"/>
                              <w:bidi w:val="0"/>
                              <w:spacing w:before="120" w:after="0"/>
                              <w:jc w:val="left"/>
                              <w:rPr>
                                <w:rFonts w:ascii="Times New Roman" w:hAnsi="Times New Roman"/>
                                <w:sz w:val="16"/>
                              </w:rPr>
                            </w:pPr>
                            <w:r>
                              <w:rPr>
                                <w:rFonts w:ascii="Times New Roman" w:hAnsi="Times New Roman"/>
                                <w:sz w:val="16"/>
                              </w:rPr>
                              <w:t xml:space="preserve">Enter your city, state, and ZIP code. </w:t>
                            </w:r>
                          </w:p>
                          <w:p>
                            <w:pPr>
                              <w:pStyle w:val="TextBody"/>
                              <w:bidi w:val="0"/>
                              <w:spacing w:before="120" w:after="0"/>
                              <w:jc w:val="left"/>
                              <w:rPr>
                                <w:rFonts w:ascii="Times New Roman" w:hAnsi="Times New Roman"/>
                                <w:b/>
                                <w:sz w:val="24"/>
                              </w:rPr>
                            </w:pPr>
                            <w:r>
                              <w:rPr>
                                <w:rFonts w:ascii="Times New Roman" w:hAnsi="Times New Roman"/>
                                <w:b/>
                                <w:sz w:val="24"/>
                              </w:rPr>
                              <w:t xml:space="preserve">Part I. Taxpayer Identification Number (TIN) </w:t>
                            </w:r>
                          </w:p>
                          <w:p>
                            <w:pPr>
                              <w:pStyle w:val="TextBody"/>
                              <w:bidi w:val="0"/>
                              <w:spacing w:before="120" w:after="0"/>
                              <w:jc w:val="left"/>
                              <w:rPr>
                                <w:rFonts w:ascii="Times New Roman" w:hAnsi="Times New Roman"/>
                                <w:sz w:val="16"/>
                              </w:rPr>
                            </w:pPr>
                            <w:r>
                              <w:rPr>
                                <w:rFonts w:ascii="Times New Roman" w:hAnsi="Times New Roman"/>
                                <w:b/>
                                <w:sz w:val="16"/>
                              </w:rPr>
                              <w:t>Enter your TIN in the appropriate box.</w:t>
                            </w:r>
                            <w:r>
                              <w:rPr>
                                <w:rFonts w:ascii="Times New Roman" w:hAnsi="Times New Roman"/>
                                <w:sz w:val="16"/>
                              </w:rPr>
                              <w:t xml:space="preserve"> If you are a resident alien and you do not have, and are not eligible to get, an SSN, your TIN is your IRS ITIN. Enter it in the entry space for the Social security number. If you do not have an ITIN, see </w:t>
                            </w:r>
                            <w:r>
                              <w:rPr>
                                <w:rFonts w:ascii="Times New Roman" w:hAnsi="Times New Roman"/>
                                <w:i/>
                                <w:sz w:val="16"/>
                              </w:rPr>
                              <w:t>How to get a TIN</w:t>
                            </w:r>
                            <w:r>
                              <w:rPr>
                                <w:rFonts w:ascii="Times New Roman" w:hAnsi="Times New Roman"/>
                                <w:sz w:val="16"/>
                              </w:rPr>
                              <w:t xml:space="preserve"> below. </w:t>
                            </w:r>
                          </w:p>
                          <w:p>
                            <w:pPr>
                              <w:pStyle w:val="TextBody"/>
                              <w:bidi w:val="0"/>
                              <w:spacing w:before="40" w:after="0"/>
                              <w:jc w:val="left"/>
                              <w:rPr>
                                <w:rFonts w:ascii="Times New Roman" w:hAnsi="Times New Roman"/>
                                <w:sz w:val="16"/>
                              </w:rPr>
                            </w:pPr>
                            <w:r>
                              <w:rPr>
                                <w:rFonts w:ascii="Times New Roman" w:hAnsi="Times New Roman"/>
                                <w:sz w:val="16"/>
                              </w:rPr>
                              <w:t xml:space="preserve">If you are a sole proprietor and you have an EIN, you may enter either your SSN or EIN. </w:t>
                            </w:r>
                          </w:p>
                          <w:p>
                            <w:pPr>
                              <w:pStyle w:val="TextBody"/>
                              <w:bidi w:val="0"/>
                              <w:spacing w:before="40" w:after="0"/>
                              <w:jc w:val="left"/>
                              <w:rPr>
                                <w:rFonts w:ascii="Times New Roman" w:hAnsi="Times New Roman"/>
                                <w:sz w:val="16"/>
                              </w:rPr>
                            </w:pPr>
                            <w:r>
                              <w:rPr>
                                <w:rFonts w:ascii="Times New Roman" w:hAnsi="Times New Roman"/>
                                <w:sz w:val="16"/>
                              </w:rPr>
                              <w:t xml:space="preserve">If you are a single-member LLC that is disregarded as an entity separate from its owner, enter the owner’s SSN (or EIN, if the owner has one). If the LLC is classified as a corporation or partnership, enter the entity’s EIN. </w:t>
                            </w:r>
                          </w:p>
                          <w:p>
                            <w:pPr>
                              <w:pStyle w:val="TextBody"/>
                              <w:bidi w:val="0"/>
                              <w:spacing w:before="40" w:after="0"/>
                              <w:jc w:val="left"/>
                              <w:rPr>
                                <w:rFonts w:ascii="Times New Roman" w:hAnsi="Times New Roman"/>
                                <w:sz w:val="16"/>
                              </w:rPr>
                            </w:pPr>
                            <w:r>
                              <w:rPr>
                                <w:rFonts w:ascii="Times New Roman" w:hAnsi="Times New Roman"/>
                                <w:b/>
                                <w:sz w:val="16"/>
                              </w:rPr>
                              <w:t>Note:</w:t>
                            </w:r>
                            <w:r>
                              <w:rPr>
                                <w:rFonts w:ascii="Times New Roman" w:hAnsi="Times New Roman"/>
                                <w:sz w:val="16"/>
                              </w:rPr>
                              <w:t xml:space="preserve"> See </w:t>
                            </w:r>
                            <w:r>
                              <w:rPr>
                                <w:rFonts w:ascii="Times New Roman" w:hAnsi="Times New Roman"/>
                                <w:i/>
                                <w:sz w:val="16"/>
                              </w:rPr>
                              <w:t>What Name and Number</w:t>
                            </w:r>
                            <w:r>
                              <w:rPr>
                                <w:rFonts w:ascii="Times New Roman" w:hAnsi="Times New Roman"/>
                                <w:sz w:val="16"/>
                              </w:rPr>
                              <w:t xml:space="preserve"> </w:t>
                            </w:r>
                            <w:r>
                              <w:rPr>
                                <w:rFonts w:ascii="Times New Roman" w:hAnsi="Times New Roman"/>
                                <w:i/>
                                <w:sz w:val="16"/>
                              </w:rPr>
                              <w:t>To Give the Requester</w:t>
                            </w:r>
                            <w:r>
                              <w:rPr>
                                <w:rFonts w:ascii="Times New Roman" w:hAnsi="Times New Roman"/>
                                <w:sz w:val="16"/>
                              </w:rPr>
                              <w:t xml:space="preserve">, later, for further clarification of name and TIN combinations. </w:t>
                            </w:r>
                          </w:p>
                          <w:p>
                            <w:pPr>
                              <w:pStyle w:val="TextBody"/>
                              <w:bidi w:val="0"/>
                              <w:spacing w:before="40" w:after="0"/>
                              <w:jc w:val="left"/>
                              <w:rPr>
                                <w:rFonts w:ascii="Times New Roman" w:hAnsi="Times New Roman"/>
                                <w:sz w:val="16"/>
                              </w:rPr>
                            </w:pPr>
                            <w:r>
                              <w:rPr>
                                <w:rFonts w:ascii="Times New Roman" w:hAnsi="Times New Roman"/>
                                <w:b/>
                                <w:sz w:val="16"/>
                              </w:rPr>
                              <w:t>How to get a TIN.</w:t>
                            </w:r>
                            <w:r>
                              <w:rPr>
                                <w:rFonts w:ascii="Times New Roman" w:hAnsi="Times New Roman"/>
                                <w:sz w:val="16"/>
                              </w:rPr>
                              <w:t xml:space="preserve"> If you do not have a TIN, apply for one immediately. To apply for an SSN, get Form SS-5, Application for a Social Security Card, from your local SSA office or get this form online at </w:t>
                            </w:r>
                            <w:r>
                              <w:rPr>
                                <w:rFonts w:ascii="Times New Roman" w:hAnsi="Times New Roman"/>
                                <w:i/>
                                <w:sz w:val="16"/>
                              </w:rPr>
                              <w:t>www.SSA.gov</w:t>
                            </w:r>
                            <w:r>
                              <w:rPr>
                                <w:rFonts w:ascii="Times New Roman" w:hAnsi="Times New Roman"/>
                                <w:sz w:val="16"/>
                              </w:rPr>
                              <w:t xml:space="preserve">. You may also get this form by calling 800-772-1213. Use Form W-7, Application for IRS Individual Taxpayer Identification Number, to apply for an ITIN, or Form SS-4, Application for Employer Identification Number, to apply for an EIN. You can apply for an EIN online by accessing the IRS website at </w:t>
                            </w:r>
                            <w:r>
                              <w:rPr>
                                <w:rFonts w:ascii="Times New Roman" w:hAnsi="Times New Roman"/>
                                <w:i/>
                                <w:sz w:val="16"/>
                              </w:rPr>
                              <w:t>www.irs.gov/EIN</w:t>
                            </w:r>
                            <w:r>
                              <w:rPr>
                                <w:rFonts w:ascii="Times New Roman" w:hAnsi="Times New Roman"/>
                                <w:sz w:val="16"/>
                              </w:rPr>
                              <w:t xml:space="preserve">. Go to </w:t>
                            </w:r>
                            <w:r>
                              <w:rPr>
                                <w:rFonts w:ascii="Times New Roman" w:hAnsi="Times New Roman"/>
                                <w:i/>
                                <w:sz w:val="16"/>
                              </w:rPr>
                              <w:t>www.irs.gov/Forms</w:t>
                            </w:r>
                            <w:r>
                              <w:rPr>
                                <w:rFonts w:ascii="Times New Roman" w:hAnsi="Times New Roman"/>
                                <w:sz w:val="16"/>
                              </w:rPr>
                              <w:t xml:space="preserve"> to view, download, or print Form W-7 and/or Form SS-4. Or, you can go to </w:t>
                            </w:r>
                            <w:r>
                              <w:rPr>
                                <w:rFonts w:ascii="Times New Roman" w:hAnsi="Times New Roman"/>
                                <w:i/>
                                <w:sz w:val="16"/>
                              </w:rPr>
                              <w:t>www.irs.gov/OrderForms</w:t>
                            </w:r>
                            <w:r>
                              <w:rPr>
                                <w:rFonts w:ascii="Times New Roman" w:hAnsi="Times New Roman"/>
                                <w:sz w:val="16"/>
                              </w:rPr>
                              <w:t xml:space="preserve"> to place an order and have Form W-7 and/or Form SS-4 mailed to you within 15 business days.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35.5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bidi w:val="0"/>
                        <w:spacing w:before="0" w:after="0"/>
                        <w:jc w:val="left"/>
                        <w:rPr>
                          <w:rFonts w:ascii="Times New Roman" w:hAnsi="Times New Roman"/>
                          <w:sz w:val="16"/>
                        </w:rPr>
                      </w:pPr>
                      <w:r>
                        <w:rPr>
                          <w:rFonts w:ascii="Times New Roman" w:hAnsi="Times New Roman"/>
                          <w:sz w:val="16"/>
                        </w:rPr>
                        <w:t xml:space="preserve">requirements. A requester may indicate that a code is not required by providing you with a Form W-9 with “Not Applicable” (or any similar indication) entered on the line for a FATCA exemption code. </w:t>
                      </w:r>
                    </w:p>
                    <w:p>
                      <w:pPr>
                        <w:pStyle w:val="TextBody"/>
                        <w:bidi w:val="0"/>
                        <w:spacing w:before="40" w:after="0"/>
                        <w:jc w:val="left"/>
                        <w:rPr>
                          <w:rFonts w:ascii="Times New Roman" w:hAnsi="Times New Roman"/>
                          <w:sz w:val="16"/>
                        </w:rPr>
                      </w:pPr>
                      <w:r>
                        <w:rPr>
                          <w:rFonts w:ascii="Times New Roman" w:hAnsi="Times New Roman"/>
                          <w:sz w:val="16"/>
                        </w:rPr>
                        <w:t xml:space="preserve">A — An organization exempt from tax under section 501(a) or any individual retirement plan as defined in section 7701(a)(37). </w:t>
                      </w:r>
                    </w:p>
                    <w:p>
                      <w:pPr>
                        <w:pStyle w:val="TextBody"/>
                        <w:bidi w:val="0"/>
                        <w:spacing w:before="40" w:after="0"/>
                        <w:jc w:val="left"/>
                        <w:rPr>
                          <w:rFonts w:ascii="Times New Roman" w:hAnsi="Times New Roman"/>
                          <w:sz w:val="16"/>
                        </w:rPr>
                      </w:pPr>
                      <w:r>
                        <w:rPr>
                          <w:rFonts w:ascii="Times New Roman" w:hAnsi="Times New Roman"/>
                          <w:sz w:val="16"/>
                        </w:rPr>
                        <w:t xml:space="preserve">B — The United States or any of its agencies or instrumentalities. </w:t>
                      </w:r>
                    </w:p>
                    <w:p>
                      <w:pPr>
                        <w:pStyle w:val="TextBody"/>
                        <w:bidi w:val="0"/>
                        <w:spacing w:before="40" w:after="0"/>
                        <w:jc w:val="left"/>
                        <w:rPr>
                          <w:rFonts w:ascii="Times New Roman" w:hAnsi="Times New Roman"/>
                          <w:sz w:val="16"/>
                        </w:rPr>
                      </w:pPr>
                      <w:r>
                        <w:rPr>
                          <w:rFonts w:ascii="Times New Roman" w:hAnsi="Times New Roman"/>
                          <w:sz w:val="16"/>
                        </w:rPr>
                        <w:t xml:space="preserve">C — A state, the District of Columbia, a U.S. commonwealth or territory, or any of their political subdivisions or instrumentalities. </w:t>
                      </w:r>
                    </w:p>
                    <w:p>
                      <w:pPr>
                        <w:pStyle w:val="TextBody"/>
                        <w:bidi w:val="0"/>
                        <w:spacing w:before="40" w:after="0"/>
                        <w:jc w:val="left"/>
                        <w:rPr>
                          <w:rFonts w:ascii="Times New Roman" w:hAnsi="Times New Roman"/>
                          <w:sz w:val="16"/>
                        </w:rPr>
                      </w:pPr>
                      <w:r>
                        <w:rPr>
                          <w:rFonts w:ascii="Times New Roman" w:hAnsi="Times New Roman"/>
                          <w:sz w:val="16"/>
                        </w:rPr>
                        <w:t>D — A corporation the stock of which is regularly traded on one or more established securities markets, as described in Regulations section 1.1472-1(c)(1)(i).</w:t>
                      </w:r>
                    </w:p>
                    <w:p>
                      <w:pPr>
                        <w:pStyle w:val="TextBody"/>
                        <w:bidi w:val="0"/>
                        <w:spacing w:before="40" w:after="0"/>
                        <w:jc w:val="left"/>
                        <w:rPr>
                          <w:rFonts w:ascii="Times New Roman" w:hAnsi="Times New Roman"/>
                          <w:sz w:val="16"/>
                        </w:rPr>
                      </w:pPr>
                      <w:r>
                        <w:rPr>
                          <w:rFonts w:ascii="Times New Roman" w:hAnsi="Times New Roman"/>
                          <w:sz w:val="16"/>
                        </w:rPr>
                        <w:t>E — A corporation that is a member of the same expanded affiliated group as a corporation described in Regulations section 1.1472-1(c)(1)(i).</w:t>
                      </w:r>
                    </w:p>
                    <w:p>
                      <w:pPr>
                        <w:pStyle w:val="TextBody"/>
                        <w:bidi w:val="0"/>
                        <w:spacing w:before="40" w:after="0"/>
                        <w:jc w:val="left"/>
                        <w:rPr>
                          <w:rFonts w:ascii="Times New Roman" w:hAnsi="Times New Roman"/>
                          <w:sz w:val="16"/>
                        </w:rPr>
                      </w:pPr>
                      <w:r>
                        <w:rPr>
                          <w:rFonts w:ascii="Times New Roman" w:hAnsi="Times New Roman"/>
                          <w:sz w:val="16"/>
                        </w:rPr>
                        <w:t xml:space="preserve">F — A dealer in securities, commodities, or derivative financial instruments (including notional principal contracts, futures, forwards, and options) that is registered as such under the laws of the United States or any state. </w:t>
                      </w:r>
                    </w:p>
                    <w:p>
                      <w:pPr>
                        <w:pStyle w:val="TextBody"/>
                        <w:bidi w:val="0"/>
                        <w:spacing w:before="40" w:after="0"/>
                        <w:jc w:val="left"/>
                        <w:rPr>
                          <w:rFonts w:ascii="Times New Roman" w:hAnsi="Times New Roman"/>
                          <w:sz w:val="16"/>
                        </w:rPr>
                      </w:pPr>
                      <w:r>
                        <w:rPr>
                          <w:rFonts w:ascii="Times New Roman" w:hAnsi="Times New Roman"/>
                          <w:sz w:val="16"/>
                        </w:rPr>
                        <w:t xml:space="preserve">G — A real estate investment trust. </w:t>
                      </w:r>
                    </w:p>
                    <w:p>
                      <w:pPr>
                        <w:pStyle w:val="TextBody"/>
                        <w:bidi w:val="0"/>
                        <w:spacing w:before="40" w:after="0"/>
                        <w:jc w:val="left"/>
                        <w:rPr>
                          <w:rFonts w:ascii="Times New Roman" w:hAnsi="Times New Roman"/>
                          <w:sz w:val="16"/>
                        </w:rPr>
                      </w:pPr>
                      <w:r>
                        <w:rPr>
                          <w:rFonts w:ascii="Times New Roman" w:hAnsi="Times New Roman"/>
                          <w:sz w:val="16"/>
                        </w:rPr>
                        <w:t xml:space="preserve">H — A regulated investment company as defined in section 851 or an entity registered at all times during the tax year under the Investment Company Act of 1940. </w:t>
                      </w:r>
                    </w:p>
                    <w:p>
                      <w:pPr>
                        <w:pStyle w:val="TextBody"/>
                        <w:bidi w:val="0"/>
                        <w:spacing w:before="40" w:after="0"/>
                        <w:jc w:val="left"/>
                        <w:rPr>
                          <w:rFonts w:ascii="Times New Roman" w:hAnsi="Times New Roman"/>
                          <w:sz w:val="16"/>
                        </w:rPr>
                      </w:pPr>
                      <w:r>
                        <w:rPr>
                          <w:rFonts w:ascii="Times New Roman" w:hAnsi="Times New Roman"/>
                          <w:sz w:val="16"/>
                        </w:rPr>
                        <w:t xml:space="preserve">I — A common trust fund as defined in section 584(a). </w:t>
                      </w:r>
                    </w:p>
                    <w:p>
                      <w:pPr>
                        <w:pStyle w:val="TextBody"/>
                        <w:bidi w:val="0"/>
                        <w:spacing w:before="40" w:after="0"/>
                        <w:jc w:val="left"/>
                        <w:rPr>
                          <w:rFonts w:ascii="Times New Roman" w:hAnsi="Times New Roman"/>
                          <w:sz w:val="16"/>
                        </w:rPr>
                      </w:pPr>
                      <w:r>
                        <w:rPr>
                          <w:rFonts w:ascii="Times New Roman" w:hAnsi="Times New Roman"/>
                          <w:sz w:val="16"/>
                        </w:rPr>
                        <w:t xml:space="preserve">J — A bank as defined in section 581. </w:t>
                      </w:r>
                    </w:p>
                    <w:p>
                      <w:pPr>
                        <w:pStyle w:val="TextBody"/>
                        <w:bidi w:val="0"/>
                        <w:spacing w:before="40" w:after="0"/>
                        <w:jc w:val="left"/>
                        <w:rPr>
                          <w:rFonts w:ascii="Times New Roman" w:hAnsi="Times New Roman"/>
                          <w:sz w:val="16"/>
                        </w:rPr>
                      </w:pPr>
                      <w:r>
                        <w:rPr>
                          <w:rFonts w:ascii="Times New Roman" w:hAnsi="Times New Roman"/>
                          <w:sz w:val="16"/>
                        </w:rPr>
                        <w:t xml:space="preserve">K — A broker. </w:t>
                      </w:r>
                    </w:p>
                    <w:p>
                      <w:pPr>
                        <w:pStyle w:val="TextBody"/>
                        <w:bidi w:val="0"/>
                        <w:spacing w:before="40" w:after="0"/>
                        <w:jc w:val="left"/>
                        <w:rPr>
                          <w:rFonts w:ascii="Times New Roman" w:hAnsi="Times New Roman"/>
                          <w:sz w:val="16"/>
                        </w:rPr>
                      </w:pPr>
                      <w:r>
                        <w:rPr>
                          <w:rFonts w:ascii="Times New Roman" w:hAnsi="Times New Roman"/>
                          <w:sz w:val="16"/>
                        </w:rPr>
                        <w:t xml:space="preserve">L — A trust exempt from tax under section 664 or described in section 4947(a)(1). </w:t>
                      </w:r>
                    </w:p>
                    <w:p>
                      <w:pPr>
                        <w:pStyle w:val="TextBody"/>
                        <w:bidi w:val="0"/>
                        <w:spacing w:before="40" w:after="0"/>
                        <w:jc w:val="left"/>
                        <w:rPr>
                          <w:rFonts w:ascii="Times New Roman" w:hAnsi="Times New Roman"/>
                          <w:sz w:val="16"/>
                        </w:rPr>
                      </w:pPr>
                      <w:r>
                        <w:rPr>
                          <w:rFonts w:ascii="Times New Roman" w:hAnsi="Times New Roman"/>
                          <w:sz w:val="16"/>
                        </w:rPr>
                        <w:t xml:space="preserve">M — A tax-exempt trust under a section 403(b) plan or section 457(g) plan. </w:t>
                      </w:r>
                    </w:p>
                    <w:p>
                      <w:pPr>
                        <w:pStyle w:val="TextBody"/>
                        <w:bidi w:val="0"/>
                        <w:spacing w:before="40" w:after="0"/>
                        <w:jc w:val="left"/>
                        <w:rPr>
                          <w:rFonts w:ascii="Times New Roman" w:hAnsi="Times New Roman"/>
                          <w:sz w:val="16"/>
                        </w:rPr>
                      </w:pPr>
                      <w:r>
                        <w:rPr>
                          <w:rFonts w:ascii="Times New Roman" w:hAnsi="Times New Roman"/>
                          <w:b/>
                          <w:sz w:val="16"/>
                        </w:rPr>
                        <w:t>Note:</w:t>
                      </w:r>
                      <w:r>
                        <w:rPr>
                          <w:rFonts w:ascii="Times New Roman" w:hAnsi="Times New Roman"/>
                          <w:sz w:val="16"/>
                        </w:rPr>
                        <w:t xml:space="preserve"> You may wish to consult with the financial institution requesting this form to determine whether the FATCA code and/or exempt payee code should be completed. </w:t>
                      </w:r>
                    </w:p>
                    <w:p>
                      <w:pPr>
                        <w:pStyle w:val="TextBody"/>
                        <w:bidi w:val="0"/>
                        <w:spacing w:before="120" w:after="0"/>
                        <w:jc w:val="left"/>
                        <w:rPr>
                          <w:rFonts w:ascii="Times New Roman" w:hAnsi="Times New Roman"/>
                          <w:b/>
                          <w:sz w:val="22"/>
                        </w:rPr>
                      </w:pPr>
                      <w:r>
                        <w:rPr>
                          <w:rFonts w:ascii="Times New Roman" w:hAnsi="Times New Roman"/>
                          <w:b/>
                          <w:sz w:val="22"/>
                        </w:rPr>
                        <w:t xml:space="preserve">Line 5 </w:t>
                      </w:r>
                    </w:p>
                    <w:p>
                      <w:pPr>
                        <w:pStyle w:val="TextBody"/>
                        <w:bidi w:val="0"/>
                        <w:spacing w:before="120" w:after="0"/>
                        <w:jc w:val="left"/>
                        <w:rPr>
                          <w:rFonts w:ascii="Times New Roman" w:hAnsi="Times New Roman"/>
                          <w:sz w:val="16"/>
                        </w:rPr>
                      </w:pPr>
                      <w:r>
                        <w:rPr>
                          <w:rFonts w:ascii="Times New Roman" w:hAnsi="Times New Roman"/>
                          <w:sz w:val="16"/>
                        </w:rPr>
                        <w:t xml:space="preserve">Enter your address (number, street, and apartment or suite number). This is where the requester of this Form W-9 will mail your information returns. If this address differs from the one the requester already has on file, enter “NEW” at the top. If a new address is provided, there is still a chance the old address will be used until the payor changes your address in their records. </w:t>
                      </w:r>
                    </w:p>
                    <w:p>
                      <w:pPr>
                        <w:pStyle w:val="TextBody"/>
                        <w:bidi w:val="0"/>
                        <w:spacing w:before="120" w:after="0"/>
                        <w:jc w:val="left"/>
                        <w:rPr>
                          <w:rFonts w:ascii="Times New Roman" w:hAnsi="Times New Roman"/>
                          <w:b/>
                          <w:sz w:val="22"/>
                        </w:rPr>
                      </w:pPr>
                      <w:r>
                        <w:rPr>
                          <w:rFonts w:ascii="Times New Roman" w:hAnsi="Times New Roman"/>
                          <w:b/>
                          <w:sz w:val="22"/>
                        </w:rPr>
                        <w:t xml:space="preserve">Line 6 </w:t>
                      </w:r>
                    </w:p>
                    <w:p>
                      <w:pPr>
                        <w:pStyle w:val="TextBody"/>
                        <w:bidi w:val="0"/>
                        <w:spacing w:before="120" w:after="0"/>
                        <w:jc w:val="left"/>
                        <w:rPr>
                          <w:rFonts w:ascii="Times New Roman" w:hAnsi="Times New Roman"/>
                          <w:sz w:val="16"/>
                        </w:rPr>
                      </w:pPr>
                      <w:r>
                        <w:rPr>
                          <w:rFonts w:ascii="Times New Roman" w:hAnsi="Times New Roman"/>
                          <w:sz w:val="16"/>
                        </w:rPr>
                        <w:t xml:space="preserve">Enter your city, state, and ZIP code. </w:t>
                      </w:r>
                    </w:p>
                    <w:p>
                      <w:pPr>
                        <w:pStyle w:val="TextBody"/>
                        <w:bidi w:val="0"/>
                        <w:spacing w:before="120" w:after="0"/>
                        <w:jc w:val="left"/>
                        <w:rPr>
                          <w:rFonts w:ascii="Times New Roman" w:hAnsi="Times New Roman"/>
                          <w:b/>
                          <w:sz w:val="24"/>
                        </w:rPr>
                      </w:pPr>
                      <w:r>
                        <w:rPr>
                          <w:rFonts w:ascii="Times New Roman" w:hAnsi="Times New Roman"/>
                          <w:b/>
                          <w:sz w:val="24"/>
                        </w:rPr>
                        <w:t xml:space="preserve">Part I. Taxpayer Identification Number (TIN) </w:t>
                      </w:r>
                    </w:p>
                    <w:p>
                      <w:pPr>
                        <w:pStyle w:val="TextBody"/>
                        <w:bidi w:val="0"/>
                        <w:spacing w:before="120" w:after="0"/>
                        <w:jc w:val="left"/>
                        <w:rPr>
                          <w:rFonts w:ascii="Times New Roman" w:hAnsi="Times New Roman"/>
                          <w:sz w:val="16"/>
                        </w:rPr>
                      </w:pPr>
                      <w:r>
                        <w:rPr>
                          <w:rFonts w:ascii="Times New Roman" w:hAnsi="Times New Roman"/>
                          <w:b/>
                          <w:sz w:val="16"/>
                        </w:rPr>
                        <w:t>Enter your TIN in the appropriate box.</w:t>
                      </w:r>
                      <w:r>
                        <w:rPr>
                          <w:rFonts w:ascii="Times New Roman" w:hAnsi="Times New Roman"/>
                          <w:sz w:val="16"/>
                        </w:rPr>
                        <w:t xml:space="preserve"> If you are a resident alien and you do not have, and are not eligible to get, an SSN, your TIN is your IRS ITIN. Enter it in the entry space for the Social security number. If you do not have an ITIN, see </w:t>
                      </w:r>
                      <w:r>
                        <w:rPr>
                          <w:rFonts w:ascii="Times New Roman" w:hAnsi="Times New Roman"/>
                          <w:i/>
                          <w:sz w:val="16"/>
                        </w:rPr>
                        <w:t>How to get a TIN</w:t>
                      </w:r>
                      <w:r>
                        <w:rPr>
                          <w:rFonts w:ascii="Times New Roman" w:hAnsi="Times New Roman"/>
                          <w:sz w:val="16"/>
                        </w:rPr>
                        <w:t xml:space="preserve"> below. </w:t>
                      </w:r>
                    </w:p>
                    <w:p>
                      <w:pPr>
                        <w:pStyle w:val="TextBody"/>
                        <w:bidi w:val="0"/>
                        <w:spacing w:before="40" w:after="0"/>
                        <w:jc w:val="left"/>
                        <w:rPr>
                          <w:rFonts w:ascii="Times New Roman" w:hAnsi="Times New Roman"/>
                          <w:sz w:val="16"/>
                        </w:rPr>
                      </w:pPr>
                      <w:r>
                        <w:rPr>
                          <w:rFonts w:ascii="Times New Roman" w:hAnsi="Times New Roman"/>
                          <w:sz w:val="16"/>
                        </w:rPr>
                        <w:t xml:space="preserve">If you are a sole proprietor and you have an EIN, you may enter either your SSN or EIN. </w:t>
                      </w:r>
                    </w:p>
                    <w:p>
                      <w:pPr>
                        <w:pStyle w:val="TextBody"/>
                        <w:bidi w:val="0"/>
                        <w:spacing w:before="40" w:after="0"/>
                        <w:jc w:val="left"/>
                        <w:rPr>
                          <w:rFonts w:ascii="Times New Roman" w:hAnsi="Times New Roman"/>
                          <w:sz w:val="16"/>
                        </w:rPr>
                      </w:pPr>
                      <w:r>
                        <w:rPr>
                          <w:rFonts w:ascii="Times New Roman" w:hAnsi="Times New Roman"/>
                          <w:sz w:val="16"/>
                        </w:rPr>
                        <w:t xml:space="preserve">If you are a single-member LLC that is disregarded as an entity separate from its owner, enter the owner’s SSN (or EIN, if the owner has one). If the LLC is classified as a corporation or partnership, enter the entity’s EIN. </w:t>
                      </w:r>
                    </w:p>
                    <w:p>
                      <w:pPr>
                        <w:pStyle w:val="TextBody"/>
                        <w:bidi w:val="0"/>
                        <w:spacing w:before="40" w:after="0"/>
                        <w:jc w:val="left"/>
                        <w:rPr>
                          <w:rFonts w:ascii="Times New Roman" w:hAnsi="Times New Roman"/>
                          <w:sz w:val="16"/>
                        </w:rPr>
                      </w:pPr>
                      <w:r>
                        <w:rPr>
                          <w:rFonts w:ascii="Times New Roman" w:hAnsi="Times New Roman"/>
                          <w:b/>
                          <w:sz w:val="16"/>
                        </w:rPr>
                        <w:t>Note:</w:t>
                      </w:r>
                      <w:r>
                        <w:rPr>
                          <w:rFonts w:ascii="Times New Roman" w:hAnsi="Times New Roman"/>
                          <w:sz w:val="16"/>
                        </w:rPr>
                        <w:t xml:space="preserve"> See </w:t>
                      </w:r>
                      <w:r>
                        <w:rPr>
                          <w:rFonts w:ascii="Times New Roman" w:hAnsi="Times New Roman"/>
                          <w:i/>
                          <w:sz w:val="16"/>
                        </w:rPr>
                        <w:t>What Name and Number</w:t>
                      </w:r>
                      <w:r>
                        <w:rPr>
                          <w:rFonts w:ascii="Times New Roman" w:hAnsi="Times New Roman"/>
                          <w:sz w:val="16"/>
                        </w:rPr>
                        <w:t xml:space="preserve"> </w:t>
                      </w:r>
                      <w:r>
                        <w:rPr>
                          <w:rFonts w:ascii="Times New Roman" w:hAnsi="Times New Roman"/>
                          <w:i/>
                          <w:sz w:val="16"/>
                        </w:rPr>
                        <w:t>To Give the Requester</w:t>
                      </w:r>
                      <w:r>
                        <w:rPr>
                          <w:rFonts w:ascii="Times New Roman" w:hAnsi="Times New Roman"/>
                          <w:sz w:val="16"/>
                        </w:rPr>
                        <w:t xml:space="preserve">, later, for further clarification of name and TIN combinations. </w:t>
                      </w:r>
                    </w:p>
                    <w:p>
                      <w:pPr>
                        <w:pStyle w:val="TextBody"/>
                        <w:bidi w:val="0"/>
                        <w:spacing w:before="40" w:after="0"/>
                        <w:jc w:val="left"/>
                        <w:rPr>
                          <w:rFonts w:ascii="Times New Roman" w:hAnsi="Times New Roman"/>
                          <w:sz w:val="16"/>
                        </w:rPr>
                      </w:pPr>
                      <w:r>
                        <w:rPr>
                          <w:rFonts w:ascii="Times New Roman" w:hAnsi="Times New Roman"/>
                          <w:b/>
                          <w:sz w:val="16"/>
                        </w:rPr>
                        <w:t>How to get a TIN.</w:t>
                      </w:r>
                      <w:r>
                        <w:rPr>
                          <w:rFonts w:ascii="Times New Roman" w:hAnsi="Times New Roman"/>
                          <w:sz w:val="16"/>
                        </w:rPr>
                        <w:t xml:space="preserve"> If you do not have a TIN, apply for one immediately. To apply for an SSN, get Form SS-5, Application for a Social Security Card, from your local SSA office or get this form online at </w:t>
                      </w:r>
                      <w:r>
                        <w:rPr>
                          <w:rFonts w:ascii="Times New Roman" w:hAnsi="Times New Roman"/>
                          <w:i/>
                          <w:sz w:val="16"/>
                        </w:rPr>
                        <w:t>www.SSA.gov</w:t>
                      </w:r>
                      <w:r>
                        <w:rPr>
                          <w:rFonts w:ascii="Times New Roman" w:hAnsi="Times New Roman"/>
                          <w:sz w:val="16"/>
                        </w:rPr>
                        <w:t xml:space="preserve">. You may also get this form by calling 800-772-1213. Use Form W-7, Application for IRS Individual Taxpayer Identification Number, to apply for an ITIN, or Form SS-4, Application for Employer Identification Number, to apply for an EIN. You can apply for an EIN online by accessing the IRS website at </w:t>
                      </w:r>
                      <w:r>
                        <w:rPr>
                          <w:rFonts w:ascii="Times New Roman" w:hAnsi="Times New Roman"/>
                          <w:i/>
                          <w:sz w:val="16"/>
                        </w:rPr>
                        <w:t>www.irs.gov/EIN</w:t>
                      </w:r>
                      <w:r>
                        <w:rPr>
                          <w:rFonts w:ascii="Times New Roman" w:hAnsi="Times New Roman"/>
                          <w:sz w:val="16"/>
                        </w:rPr>
                        <w:t xml:space="preserve">. Go to </w:t>
                      </w:r>
                      <w:r>
                        <w:rPr>
                          <w:rFonts w:ascii="Times New Roman" w:hAnsi="Times New Roman"/>
                          <w:i/>
                          <w:sz w:val="16"/>
                        </w:rPr>
                        <w:t>www.irs.gov/Forms</w:t>
                      </w:r>
                      <w:r>
                        <w:rPr>
                          <w:rFonts w:ascii="Times New Roman" w:hAnsi="Times New Roman"/>
                          <w:sz w:val="16"/>
                        </w:rPr>
                        <w:t xml:space="preserve"> to view, download, or print Form W-7 and/or Form SS-4. Or, you can go to </w:t>
                      </w:r>
                      <w:r>
                        <w:rPr>
                          <w:rFonts w:ascii="Times New Roman" w:hAnsi="Times New Roman"/>
                          <w:i/>
                          <w:sz w:val="16"/>
                        </w:rPr>
                        <w:t>www.irs.gov/OrderForms</w:t>
                      </w:r>
                      <w:r>
                        <w:rPr>
                          <w:rFonts w:ascii="Times New Roman" w:hAnsi="Times New Roman"/>
                          <w:sz w:val="16"/>
                        </w:rPr>
                        <w:t xml:space="preserve"> to place an order and have Form W-7 and/or Form SS-4 mailed to you within 15 business days. </w:t>
                      </w:r>
                    </w:p>
                  </w:txbxContent>
                </v:textbox>
                <w10:wrap type="square" side="right"/>
              </v:rect>
            </w:pict>
          </mc:Fallback>
        </mc:AlternateContent>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779"/>
        <w:gridCol w:w="426"/>
      </w:tblGrid>
      <w:tr>
        <w:trPr/>
        <w:tc>
          <w:tcPr>
            <w:tcW w:w="9779" w:type="dxa"/>
            <w:tcBorders/>
          </w:tcPr>
          <w:p>
            <w:pPr>
              <w:pStyle w:val="TableContents"/>
              <w:bidi w:val="0"/>
              <w:spacing w:before="0" w:after="20"/>
              <w:jc w:val="left"/>
              <w:rPr>
                <w:rFonts w:ascii="Times New Roman" w:hAnsi="Times New Roman"/>
                <w:sz w:val="14"/>
              </w:rPr>
            </w:pPr>
            <w:r>
              <w:rPr>
                <w:rFonts w:ascii="Times New Roman" w:hAnsi="Times New Roman"/>
                <w:sz w:val="14"/>
              </w:rPr>
              <w:t xml:space="preserve">Form W-9 (Rev. 3-2024) </w:t>
            </w:r>
          </w:p>
        </w:tc>
        <w:tc>
          <w:tcPr>
            <w:tcW w:w="426" w:type="dxa"/>
            <w:tcBorders/>
          </w:tcPr>
          <w:p>
            <w:pPr>
              <w:pStyle w:val="TableContents"/>
              <w:bidi w:val="0"/>
              <w:spacing w:before="0" w:after="20"/>
              <w:jc w:val="right"/>
              <w:rPr>
                <w:rFonts w:ascii="Times New Roman" w:hAnsi="Times New Roman"/>
                <w:sz w:val="14"/>
              </w:rPr>
            </w:pPr>
            <w:r>
              <w:rPr>
                <w:rFonts w:ascii="Times New Roman" w:hAnsi="Times New Roman"/>
                <w:sz w:val="14"/>
              </w:rPr>
              <w:t>Page </w:t>
            </w:r>
            <w:r>
              <w:rPr>
                <w:rFonts w:ascii="Times New Roman" w:hAnsi="Times New Roman"/>
                <w:b/>
                <w:sz w:val="20"/>
              </w:rPr>
              <w:t>5</w:t>
            </w:r>
            <w:r>
              <w:rPr>
                <w:rFonts w:ascii="Times New Roman" w:hAnsi="Times New Roman"/>
                <w:sz w:val="14"/>
              </w:rPr>
              <w:t xml:space="preserve"> </w:t>
            </w:r>
          </w:p>
        </w:tc>
      </w:tr>
    </w:tbl>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jc w:val="left"/>
        <w:rPr/>
      </w:pPr>
      <w:r>
        <w:rPr/>
        <w:t> </w:t>
      </w:r>
      <w:r>
        <w:br w:type="page"/>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3110230" cy="9972040"/>
                <wp:effectExtent l="0" t="0" r="0" b="0"/>
                <wp:wrapSquare wrapText="right"/>
                <wp:docPr id="13" name="Frame9"/>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p>
                            <w:pPr>
                              <w:pStyle w:val="TextBody"/>
                              <w:bidi w:val="0"/>
                              <w:spacing w:before="0" w:after="0"/>
                              <w:jc w:val="left"/>
                              <w:rPr>
                                <w:rFonts w:ascii="Times New Roman" w:hAnsi="Times New Roman"/>
                                <w:sz w:val="16"/>
                              </w:rPr>
                            </w:pPr>
                            <w:r>
                              <w:rPr>
                                <w:rFonts w:ascii="Times New Roman" w:hAnsi="Times New Roman"/>
                                <w:sz w:val="16"/>
                              </w:rPr>
                              <w:t xml:space="preserve">If you are asked to complete Form W-9 but do not have a TIN, apply for a TIN and enter “Applied For” in the space for the TIN, sign and date the form, and give it to the requester. For interest and dividend payments, and certain payments made with respect to readily tradable instruments, you will generally have 60 days to get a TIN and give it to the requester before you are subject to backup withholding on payments. The 60-day rule does not apply to other types of payments. You will be subject to backup withholding on all such payments until you provide your TIN to the requester. </w:t>
                            </w:r>
                          </w:p>
                          <w:p>
                            <w:pPr>
                              <w:pStyle w:val="TextBody"/>
                              <w:bidi w:val="0"/>
                              <w:spacing w:before="40" w:after="0"/>
                              <w:jc w:val="left"/>
                              <w:rPr>
                                <w:rFonts w:ascii="Times New Roman" w:hAnsi="Times New Roman"/>
                                <w:sz w:val="16"/>
                              </w:rPr>
                            </w:pPr>
                            <w:r>
                              <w:rPr>
                                <w:rFonts w:ascii="Times New Roman" w:hAnsi="Times New Roman"/>
                                <w:b/>
                                <w:sz w:val="16"/>
                              </w:rPr>
                              <w:t>Note:</w:t>
                            </w:r>
                            <w:r>
                              <w:rPr>
                                <w:rFonts w:ascii="Times New Roman" w:hAnsi="Times New Roman"/>
                                <w:sz w:val="16"/>
                              </w:rPr>
                              <w:t xml:space="preserve"> Entering “Applied For” means that you have already applied for a TIN or that you intend to apply for one soon. See also </w:t>
                            </w:r>
                            <w:r>
                              <w:rPr>
                                <w:rFonts w:ascii="Times New Roman" w:hAnsi="Times New Roman"/>
                                <w:i/>
                                <w:sz w:val="16"/>
                              </w:rPr>
                              <w:t>Establishing U.S. status for purposes of chapter 3 and chapter 4 withholding</w:t>
                            </w:r>
                            <w:r>
                              <w:rPr>
                                <w:rFonts w:ascii="Times New Roman" w:hAnsi="Times New Roman"/>
                                <w:sz w:val="16"/>
                              </w:rPr>
                              <w:t xml:space="preserve">, earlier, for when you may instead be subject to withholding under chapter 3 or 4 of the Code. </w:t>
                            </w:r>
                          </w:p>
                          <w:p>
                            <w:pPr>
                              <w:pStyle w:val="TextBody"/>
                              <w:bidi w:val="0"/>
                              <w:spacing w:before="40" w:after="0"/>
                              <w:jc w:val="left"/>
                              <w:rPr>
                                <w:rFonts w:ascii="Times New Roman" w:hAnsi="Times New Roman"/>
                                <w:sz w:val="16"/>
                              </w:rPr>
                            </w:pPr>
                            <w:r>
                              <w:rPr>
                                <w:rFonts w:ascii="Times New Roman" w:hAnsi="Times New Roman"/>
                                <w:b/>
                                <w:sz w:val="16"/>
                              </w:rPr>
                              <w:t>Caution:</w:t>
                            </w:r>
                            <w:r>
                              <w:rPr>
                                <w:rFonts w:ascii="Times New Roman" w:hAnsi="Times New Roman"/>
                                <w:sz w:val="16"/>
                              </w:rPr>
                              <w:t xml:space="preserve"> A disregarded U.S. entity that has a foreign owner must use the appropriate Form W-8.</w:t>
                            </w:r>
                          </w:p>
                          <w:p>
                            <w:pPr>
                              <w:pStyle w:val="TextBody"/>
                              <w:bidi w:val="0"/>
                              <w:spacing w:before="120" w:after="0"/>
                              <w:jc w:val="left"/>
                              <w:rPr>
                                <w:rFonts w:ascii="Times New Roman" w:hAnsi="Times New Roman"/>
                                <w:b/>
                                <w:sz w:val="24"/>
                              </w:rPr>
                            </w:pPr>
                            <w:r>
                              <w:rPr>
                                <w:rFonts w:ascii="Times New Roman" w:hAnsi="Times New Roman"/>
                                <w:b/>
                                <w:sz w:val="24"/>
                              </w:rPr>
                              <w:t xml:space="preserve">Part II. Certification </w:t>
                            </w:r>
                          </w:p>
                          <w:p>
                            <w:pPr>
                              <w:pStyle w:val="TextBody"/>
                              <w:bidi w:val="0"/>
                              <w:spacing w:before="120" w:after="0"/>
                              <w:jc w:val="left"/>
                              <w:rPr>
                                <w:rFonts w:ascii="Times New Roman" w:hAnsi="Times New Roman"/>
                                <w:sz w:val="16"/>
                              </w:rPr>
                            </w:pPr>
                            <w:r>
                              <w:rPr>
                                <w:rFonts w:ascii="Times New Roman" w:hAnsi="Times New Roman"/>
                                <w:sz w:val="16"/>
                              </w:rPr>
                              <w:t xml:space="preserve">To establish to the withholding agent that you are a U.S. person, or resident alien, sign Form W-9. You may be requested to sign by the withholding agent even if item 1, 4, or 5 below indicates otherwise. </w:t>
                            </w:r>
                          </w:p>
                          <w:p>
                            <w:pPr>
                              <w:pStyle w:val="TextBody"/>
                              <w:bidi w:val="0"/>
                              <w:spacing w:before="40" w:after="0"/>
                              <w:jc w:val="left"/>
                              <w:rPr>
                                <w:rFonts w:ascii="Times New Roman" w:hAnsi="Times New Roman"/>
                                <w:sz w:val="16"/>
                              </w:rPr>
                            </w:pPr>
                            <w:r>
                              <w:rPr>
                                <w:rFonts w:ascii="Times New Roman" w:hAnsi="Times New Roman"/>
                                <w:sz w:val="16"/>
                              </w:rPr>
                              <w:t xml:space="preserve">For a joint account, only the person whose TIN is shown in Part I should sign (when required). In the case of a disregarded entity, the person identified on line 1 must sign. Exempt payees, see </w:t>
                            </w:r>
                            <w:r>
                              <w:rPr>
                                <w:rFonts w:ascii="Times New Roman" w:hAnsi="Times New Roman"/>
                                <w:i/>
                                <w:sz w:val="16"/>
                              </w:rPr>
                              <w:t>Exempt payee code</w:t>
                            </w:r>
                            <w:r>
                              <w:rPr>
                                <w:rFonts w:ascii="Times New Roman" w:hAnsi="Times New Roman"/>
                                <w:sz w:val="16"/>
                              </w:rPr>
                              <w:t xml:space="preserve">, earlier. </w:t>
                            </w:r>
                          </w:p>
                          <w:p>
                            <w:pPr>
                              <w:pStyle w:val="TextBody"/>
                              <w:bidi w:val="0"/>
                              <w:spacing w:before="40" w:after="0"/>
                              <w:jc w:val="left"/>
                              <w:rPr>
                                <w:rFonts w:ascii="Times New Roman" w:hAnsi="Times New Roman"/>
                                <w:sz w:val="16"/>
                              </w:rPr>
                            </w:pPr>
                            <w:r>
                              <w:rPr>
                                <w:rFonts w:ascii="Times New Roman" w:hAnsi="Times New Roman"/>
                                <w:b/>
                                <w:sz w:val="16"/>
                              </w:rPr>
                              <w:t>Signature requirements.</w:t>
                            </w:r>
                            <w:r>
                              <w:rPr>
                                <w:rFonts w:ascii="Times New Roman" w:hAnsi="Times New Roman"/>
                                <w:sz w:val="16"/>
                              </w:rPr>
                              <w:t xml:space="preserve"> Complete the certification as indicated in items 1 through 5 below. </w:t>
                            </w:r>
                          </w:p>
                          <w:p>
                            <w:pPr>
                              <w:pStyle w:val="TextBody"/>
                              <w:bidi w:val="0"/>
                              <w:spacing w:before="40" w:after="0"/>
                              <w:jc w:val="left"/>
                              <w:rPr>
                                <w:rFonts w:ascii="Times New Roman" w:hAnsi="Times New Roman"/>
                                <w:sz w:val="16"/>
                              </w:rPr>
                            </w:pPr>
                            <w:r>
                              <w:rPr>
                                <w:rFonts w:ascii="Times New Roman" w:hAnsi="Times New Roman"/>
                                <w:b/>
                                <w:sz w:val="16"/>
                              </w:rPr>
                              <w:t>1. Interest, dividend, and barter exchange accounts opened before 1984 and broker accounts considered active during 1983.</w:t>
                            </w:r>
                            <w:r>
                              <w:rPr>
                                <w:rFonts w:ascii="Times New Roman" w:hAnsi="Times New Roman"/>
                                <w:sz w:val="16"/>
                              </w:rPr>
                              <w:t xml:space="preserve"> You must give your correct TIN, but you do not have to sign the certification. </w:t>
                            </w:r>
                          </w:p>
                          <w:p>
                            <w:pPr>
                              <w:pStyle w:val="TextBody"/>
                              <w:bidi w:val="0"/>
                              <w:spacing w:before="40" w:after="0"/>
                              <w:jc w:val="left"/>
                              <w:rPr>
                                <w:rFonts w:ascii="Times New Roman" w:hAnsi="Times New Roman"/>
                                <w:sz w:val="16"/>
                              </w:rPr>
                            </w:pPr>
                            <w:r>
                              <w:rPr>
                                <w:rFonts w:ascii="Times New Roman" w:hAnsi="Times New Roman"/>
                                <w:b/>
                                <w:sz w:val="16"/>
                              </w:rPr>
                              <w:t>2. Interest, dividend, broker, and barter exchange accounts opened after 1983 and broker accounts considered inactive during 1983.</w:t>
                            </w:r>
                            <w:r>
                              <w:rPr>
                                <w:rFonts w:ascii="Times New Roman" w:hAnsi="Times New Roman"/>
                                <w:sz w:val="16"/>
                              </w:rPr>
                              <w:t xml:space="preserve"> You must sign the certification or backup withholding will apply. If you are subject to backup withholding and you are merely providing your correct TIN to the requester, you must cross out item 2 in the certification before signing the form. </w:t>
                            </w:r>
                          </w:p>
                          <w:p>
                            <w:pPr>
                              <w:pStyle w:val="TextBody"/>
                              <w:bidi w:val="0"/>
                              <w:spacing w:before="40" w:after="0"/>
                              <w:jc w:val="left"/>
                              <w:rPr>
                                <w:rFonts w:ascii="Times New Roman" w:hAnsi="Times New Roman"/>
                                <w:sz w:val="16"/>
                              </w:rPr>
                            </w:pPr>
                            <w:r>
                              <w:rPr>
                                <w:rFonts w:ascii="Times New Roman" w:hAnsi="Times New Roman"/>
                                <w:b/>
                                <w:sz w:val="16"/>
                              </w:rPr>
                              <w:t>3. Real estate transactions.</w:t>
                            </w:r>
                            <w:r>
                              <w:rPr>
                                <w:rFonts w:ascii="Times New Roman" w:hAnsi="Times New Roman"/>
                                <w:sz w:val="16"/>
                              </w:rPr>
                              <w:t xml:space="preserve"> You must sign the certification. You may cross out item 2 of the certification. </w:t>
                            </w:r>
                          </w:p>
                          <w:p>
                            <w:pPr>
                              <w:pStyle w:val="TextBody"/>
                              <w:bidi w:val="0"/>
                              <w:spacing w:before="40" w:after="0"/>
                              <w:jc w:val="left"/>
                              <w:rPr>
                                <w:rFonts w:ascii="Times New Roman" w:hAnsi="Times New Roman"/>
                                <w:sz w:val="16"/>
                              </w:rPr>
                            </w:pPr>
                            <w:r>
                              <w:rPr>
                                <w:rFonts w:ascii="Times New Roman" w:hAnsi="Times New Roman"/>
                                <w:b/>
                                <w:sz w:val="16"/>
                              </w:rPr>
                              <w:t>4. Other payments.</w:t>
                            </w:r>
                            <w:r>
                              <w:rPr>
                                <w:rFonts w:ascii="Times New Roman" w:hAnsi="Times New Roman"/>
                                <w:sz w:val="16"/>
                              </w:rPr>
                              <w:t xml:space="preserve"> You must give your correct TIN, but you do not have to sign the certification unless you have been notified that you have previously given an incorrect TIN. “Other payments” include payments made in the course of the requester’s trade or business for rents, royalties, goods (other than bills for merchandise), medical and health care services (including payments to corporations), payments to a nonemployee for services, payments made in settlement of payment card and third-party network transactions, payments to certain fishing boat crew members and fishermen, and gross proceeds paid to attorneys (including payments to corporations). </w:t>
                            </w:r>
                          </w:p>
                          <w:p>
                            <w:pPr>
                              <w:pStyle w:val="TextBody"/>
                              <w:bidi w:val="0"/>
                              <w:spacing w:before="40" w:after="0"/>
                              <w:jc w:val="left"/>
                              <w:rPr>
                                <w:rFonts w:ascii="Times New Roman" w:hAnsi="Times New Roman"/>
                                <w:sz w:val="16"/>
                              </w:rPr>
                            </w:pPr>
                            <w:r>
                              <w:rPr>
                                <w:rFonts w:ascii="Times New Roman" w:hAnsi="Times New Roman"/>
                                <w:b/>
                                <w:sz w:val="16"/>
                              </w:rPr>
                              <w:t>5. Mortgage interest paid by you, acquisition or abandonment of secured property, cancellation of debt, qualified tuition program payments (under section 529), ABLE accounts (under section 529A), IRA, Coverdell ESA, Archer MSA or HSA contributions or distributions, and pension distributions.</w:t>
                            </w:r>
                            <w:r>
                              <w:rPr>
                                <w:rFonts w:ascii="Times New Roman" w:hAnsi="Times New Roman"/>
                                <w:sz w:val="16"/>
                              </w:rPr>
                              <w:t xml:space="preserve"> You must give your correct TIN, but you do not have to sign the certification. </w:t>
                            </w:r>
                          </w:p>
                          <w:p>
                            <w:pPr>
                              <w:pStyle w:val="TextBody"/>
                              <w:bidi w:val="0"/>
                              <w:spacing w:before="120" w:after="0"/>
                              <w:jc w:val="left"/>
                              <w:rPr>
                                <w:rFonts w:ascii="Times New Roman" w:hAnsi="Times New Roman"/>
                                <w:b/>
                                <w:sz w:val="24"/>
                              </w:rPr>
                            </w:pPr>
                            <w:r>
                              <w:rPr>
                                <w:rFonts w:ascii="Times New Roman" w:hAnsi="Times New Roman"/>
                                <w:b/>
                                <w:sz w:val="24"/>
                              </w:rPr>
                              <w:t xml:space="preserve">What Name and Number To Give the Requester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
                              <w:gridCol w:w="67"/>
                              <w:gridCol w:w="29"/>
                              <w:gridCol w:w="29"/>
                              <w:gridCol w:w="2228"/>
                              <w:gridCol w:w="144"/>
                              <w:gridCol w:w="2373"/>
                            </w:tblGrid>
                            <w:tr>
                              <w:trPr/>
                              <w:tc>
                                <w:tcPr>
                                  <w:tcW w:w="28"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29" w:type="dxa"/>
                                  <w:tcBorders/>
                                  <w:vAlign w:val="bottom"/>
                                </w:tcPr>
                                <w:p>
                                  <w:pPr>
                                    <w:pStyle w:val="TableContents"/>
                                    <w:bidi w:val="0"/>
                                    <w:spacing w:before="0" w:after="283"/>
                                    <w:jc w:val="left"/>
                                    <w:rPr>
                                      <w:sz w:val="4"/>
                                      <w:szCs w:val="4"/>
                                    </w:rPr>
                                  </w:pPr>
                                  <w:r>
                                    <w:rPr>
                                      <w:sz w:val="4"/>
                                      <w:szCs w:val="4"/>
                                    </w:rPr>
                                  </w:r>
                                </w:p>
                              </w:tc>
                              <w:tc>
                                <w:tcPr>
                                  <w:tcW w:w="29" w:type="dxa"/>
                                  <w:tcBorders/>
                                  <w:vAlign w:val="bottom"/>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124" w:type="dxa"/>
                                  <w:gridSpan w:val="3"/>
                                  <w:tcBorders>
                                    <w:top w:val="single" w:sz="2" w:space="0" w:color="000000"/>
                                  </w:tcBorders>
                                  <w:tcMar>
                                    <w:top w:w="28" w:type="dxa"/>
                                  </w:tcMar>
                                  <w:vAlign w:val="center"/>
                                </w:tcPr>
                                <w:p>
                                  <w:pPr>
                                    <w:pStyle w:val="TableContents"/>
                                    <w:bidi w:val="0"/>
                                    <w:spacing w:before="0" w:after="283"/>
                                    <w:jc w:val="left"/>
                                    <w:rPr/>
                                  </w:pPr>
                                  <w:r>
                                    <w:rPr/>
                                    <w:t> </w:t>
                                  </w:r>
                                </w:p>
                              </w:tc>
                              <w:tc>
                                <w:tcPr>
                                  <w:tcW w:w="2257" w:type="dxa"/>
                                  <w:gridSpan w:val="2"/>
                                  <w:tcBorders>
                                    <w:top w:val="single" w:sz="2" w:space="0" w:color="000000"/>
                                  </w:tcBorders>
                                  <w:tcMar>
                                    <w:top w:w="28" w:type="dxa"/>
                                  </w:tcMar>
                                  <w:vAlign w:val="center"/>
                                </w:tcPr>
                                <w:p>
                                  <w:pPr>
                                    <w:pStyle w:val="TableContents"/>
                                    <w:bidi w:val="0"/>
                                    <w:spacing w:before="0" w:after="283"/>
                                    <w:jc w:val="left"/>
                                    <w:rPr/>
                                  </w:pPr>
                                  <w:r>
                                    <w:rPr/>
                                    <w:t> </w:t>
                                  </w:r>
                                </w:p>
                              </w:tc>
                              <w:tc>
                                <w:tcPr>
                                  <w:tcW w:w="2517" w:type="dxa"/>
                                  <w:gridSpan w:val="2"/>
                                  <w:tcBorders>
                                    <w:top w:val="single" w:sz="2" w:space="0" w:color="000000"/>
                                  </w:tcBorders>
                                  <w:tcMar>
                                    <w:top w:w="28" w:type="dxa"/>
                                  </w:tcMar>
                                  <w:vAlign w:val="center"/>
                                </w:tcPr>
                                <w:p>
                                  <w:pPr>
                                    <w:pStyle w:val="TableContents"/>
                                    <w:bidi w:val="0"/>
                                    <w:spacing w:before="0" w:after="283"/>
                                    <w:jc w:val="left"/>
                                    <w:rPr/>
                                  </w:pPr>
                                  <w:r>
                                    <w:rPr/>
                                    <w:t> </w:t>
                                  </w:r>
                                </w:p>
                              </w:tc>
                            </w:tr>
                            <w:tr>
                              <w:trPr/>
                              <w:tc>
                                <w:tcPr>
                                  <w:tcW w:w="95" w:type="dxa"/>
                                  <w:gridSpan w:val="2"/>
                                  <w:tcBorders>
                                    <w:bottom w:val="single" w:sz="2" w:space="0" w:color="000000"/>
                                  </w:tcBorders>
                                  <w:tcMar>
                                    <w:bottom w:w="28" w:type="dxa"/>
                                  </w:tcMar>
                                  <w:vAlign w:val="bottom"/>
                                </w:tcPr>
                                <w:p>
                                  <w:pPr>
                                    <w:pStyle w:val="TableContents"/>
                                    <w:bidi w:val="0"/>
                                    <w:spacing w:before="0" w:after="283"/>
                                    <w:jc w:val="left"/>
                                    <w:rPr/>
                                  </w:pPr>
                                  <w:r>
                                    <w:rPr/>
                                    <w:t>  </w:t>
                                  </w:r>
                                </w:p>
                              </w:tc>
                              <w:tc>
                                <w:tcPr>
                                  <w:tcW w:w="29" w:type="dxa"/>
                                  <w:tcBorders>
                                    <w:bottom w:val="single" w:sz="2" w:space="0" w:color="000000"/>
                                  </w:tcBorders>
                                  <w:tcMar>
                                    <w:bottom w:w="28" w:type="dxa"/>
                                  </w:tcMar>
                                  <w:vAlign w:val="bottom"/>
                                </w:tcPr>
                                <w:p>
                                  <w:pPr>
                                    <w:pStyle w:val="TableContents"/>
                                    <w:bidi w:val="0"/>
                                    <w:spacing w:before="0" w:after="283"/>
                                    <w:jc w:val="left"/>
                                    <w:rPr/>
                                  </w:pPr>
                                  <w:r>
                                    <w:rPr/>
                                    <w:t> </w:t>
                                  </w:r>
                                </w:p>
                              </w:tc>
                              <w:tc>
                                <w:tcPr>
                                  <w:tcW w:w="29" w:type="dxa"/>
                                  <w:tcBorders>
                                    <w:bottom w:val="single" w:sz="2" w:space="0" w:color="000000"/>
                                  </w:tcBorders>
                                  <w:tcMar>
                                    <w:bottom w:w="28" w:type="dxa"/>
                                  </w:tcMar>
                                  <w:vAlign w:val="bottom"/>
                                </w:tcPr>
                                <w:p>
                                  <w:pPr>
                                    <w:pStyle w:val="TableContents"/>
                                    <w:bidi w:val="0"/>
                                    <w:spacing w:before="0" w:after="283"/>
                                    <w:jc w:val="left"/>
                                    <w:rPr/>
                                  </w:pPr>
                                  <w:r>
                                    <w:rPr/>
                                    <w:t> </w:t>
                                  </w:r>
                                </w:p>
                              </w:tc>
                              <w:tc>
                                <w:tcPr>
                                  <w:tcW w:w="2228" w:type="dxa"/>
                                  <w:tcBorders>
                                    <w:bottom w:val="single" w:sz="2" w:space="0" w:color="000000"/>
                                  </w:tcBorders>
                                  <w:tcMar>
                                    <w:bottom w:w="28" w:type="dxa"/>
                                  </w:tcMar>
                                  <w:vAlign w:val="bottom"/>
                                </w:tcPr>
                                <w:p>
                                  <w:pPr>
                                    <w:pStyle w:val="TableContents"/>
                                    <w:bidi w:val="0"/>
                                    <w:spacing w:before="0" w:after="283"/>
                                    <w:jc w:val="center"/>
                                    <w:rPr>
                                      <w:b/>
                                    </w:rPr>
                                  </w:pPr>
                                  <w:r>
                                    <w:rPr>
                                      <w:b/>
                                    </w:rPr>
                                    <w:t>For this type of account:</w:t>
                                  </w:r>
                                </w:p>
                              </w:tc>
                              <w:tc>
                                <w:tcPr>
                                  <w:tcW w:w="144" w:type="dxa"/>
                                  <w:tcBorders>
                                    <w:bottom w:val="single" w:sz="2" w:space="0" w:color="000000"/>
                                  </w:tcBorders>
                                  <w:tcMar>
                                    <w:bottom w:w="28" w:type="dxa"/>
                                  </w:tcMar>
                                  <w:vAlign w:val="bottom"/>
                                </w:tcPr>
                                <w:p>
                                  <w:pPr>
                                    <w:pStyle w:val="TableContents"/>
                                    <w:bidi w:val="0"/>
                                    <w:spacing w:before="0" w:after="283"/>
                                    <w:jc w:val="left"/>
                                    <w:rPr/>
                                  </w:pPr>
                                  <w:r>
                                    <w:rPr/>
                                    <w:t> </w:t>
                                  </w:r>
                                </w:p>
                              </w:tc>
                              <w:tc>
                                <w:tcPr>
                                  <w:tcW w:w="2373" w:type="dxa"/>
                                  <w:tcBorders>
                                    <w:bottom w:val="single" w:sz="2" w:space="0" w:color="000000"/>
                                  </w:tcBorders>
                                  <w:tcMar>
                                    <w:bottom w:w="28" w:type="dxa"/>
                                  </w:tcMar>
                                  <w:vAlign w:val="bottom"/>
                                </w:tcPr>
                                <w:p>
                                  <w:pPr>
                                    <w:pStyle w:val="TableContents"/>
                                    <w:bidi w:val="0"/>
                                    <w:spacing w:before="0" w:after="283"/>
                                    <w:jc w:val="center"/>
                                    <w:rPr>
                                      <w:b/>
                                    </w:rPr>
                                  </w:pPr>
                                  <w:r>
                                    <w:rPr>
                                      <w:b/>
                                    </w:rPr>
                                    <w:t>Give name and SSN of:</w:t>
                                  </w:r>
                                </w:p>
                              </w:tc>
                            </w:tr>
                            <w:tr>
                              <w:trPr>
                                <w:trHeight w:val="30" w:hRule="atLeast"/>
                              </w:trPr>
                              <w:tc>
                                <w:tcPr>
                                  <w:tcW w:w="124" w:type="dxa"/>
                                  <w:gridSpan w:val="3"/>
                                  <w:tcBorders/>
                                  <w:vAlign w:val="center"/>
                                </w:tcPr>
                                <w:p>
                                  <w:pPr>
                                    <w:pStyle w:val="TableContents"/>
                                    <w:bidi w:val="0"/>
                                    <w:spacing w:before="0" w:after="283"/>
                                    <w:jc w:val="left"/>
                                    <w:rPr>
                                      <w:sz w:val="4"/>
                                      <w:szCs w:val="4"/>
                                    </w:rPr>
                                  </w:pPr>
                                  <w:r>
                                    <w:rPr>
                                      <w:sz w:val="4"/>
                                      <w:szCs w:val="4"/>
                                    </w:rPr>
                                  </w:r>
                                </w:p>
                              </w:tc>
                              <w:tc>
                                <w:tcPr>
                                  <w:tcW w:w="225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r>
                              <w:trPr/>
                              <w:tc>
                                <w:tcPr>
                                  <w:tcW w:w="28" w:type="dxa"/>
                                  <w:tcBorders/>
                                </w:tcPr>
                                <w:p>
                                  <w:pPr>
                                    <w:pStyle w:val="TableContents"/>
                                    <w:bidi w:val="0"/>
                                    <w:spacing w:before="0" w:after="283"/>
                                    <w:jc w:val="left"/>
                                    <w:rPr/>
                                  </w:pPr>
                                  <w:r>
                                    <w:rPr/>
                                    <w:t> </w:t>
                                  </w:r>
                                </w:p>
                              </w:tc>
                              <w:tc>
                                <w:tcPr>
                                  <w:tcW w:w="67" w:type="dxa"/>
                                  <w:tcBorders/>
                                </w:tcPr>
                                <w:p>
                                  <w:pPr>
                                    <w:pStyle w:val="TableContents"/>
                                    <w:bidi w:val="0"/>
                                    <w:spacing w:before="0" w:after="283"/>
                                    <w:jc w:val="right"/>
                                    <w:rPr/>
                                  </w:pPr>
                                  <w:r>
                                    <w:rPr/>
                                    <w:t>1.</w:t>
                                  </w:r>
                                </w:p>
                              </w:tc>
                              <w:tc>
                                <w:tcPr>
                                  <w:tcW w:w="29" w:type="dxa"/>
                                  <w:tcBorders/>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28" w:type="dxa"/>
                                  <w:tcBorders/>
                                </w:tcPr>
                                <w:p>
                                  <w:pPr>
                                    <w:pStyle w:val="TableContents"/>
                                    <w:bidi w:val="0"/>
                                    <w:spacing w:before="0" w:after="283"/>
                                    <w:jc w:val="left"/>
                                    <w:rPr/>
                                  </w:pPr>
                                  <w:r>
                                    <w:rPr/>
                                    <w:t>Individual</w:t>
                                  </w:r>
                                </w:p>
                              </w:tc>
                              <w:tc>
                                <w:tcPr>
                                  <w:tcW w:w="144" w:type="dxa"/>
                                  <w:tcBorders/>
                                  <w:vAlign w:val="bottom"/>
                                </w:tcPr>
                                <w:p>
                                  <w:pPr>
                                    <w:pStyle w:val="TableContents"/>
                                    <w:bidi w:val="0"/>
                                    <w:spacing w:before="0" w:after="283"/>
                                    <w:jc w:val="left"/>
                                    <w:rPr/>
                                  </w:pPr>
                                  <w:r>
                                    <w:rPr/>
                                    <w:t> </w:t>
                                  </w:r>
                                </w:p>
                              </w:tc>
                              <w:tc>
                                <w:tcPr>
                                  <w:tcW w:w="2373" w:type="dxa"/>
                                  <w:tcBorders/>
                                </w:tcPr>
                                <w:p>
                                  <w:pPr>
                                    <w:pStyle w:val="TableContents"/>
                                    <w:bidi w:val="0"/>
                                    <w:spacing w:before="0" w:after="283"/>
                                    <w:jc w:val="left"/>
                                    <w:rPr/>
                                  </w:pPr>
                                  <w:r>
                                    <w:rPr/>
                                    <w:t>The individual</w:t>
                                  </w:r>
                                </w:p>
                              </w:tc>
                            </w:tr>
                            <w:tr>
                              <w:trPr>
                                <w:trHeight w:val="30" w:hRule="atLeast"/>
                              </w:trPr>
                              <w:tc>
                                <w:tcPr>
                                  <w:tcW w:w="124" w:type="dxa"/>
                                  <w:gridSpan w:val="3"/>
                                  <w:tcBorders/>
                                  <w:vAlign w:val="center"/>
                                </w:tcPr>
                                <w:p>
                                  <w:pPr>
                                    <w:pStyle w:val="TableContents"/>
                                    <w:bidi w:val="0"/>
                                    <w:spacing w:before="0" w:after="283"/>
                                    <w:jc w:val="left"/>
                                    <w:rPr>
                                      <w:sz w:val="4"/>
                                      <w:szCs w:val="4"/>
                                    </w:rPr>
                                  </w:pPr>
                                  <w:r>
                                    <w:rPr>
                                      <w:sz w:val="4"/>
                                      <w:szCs w:val="4"/>
                                    </w:rPr>
                                  </w:r>
                                </w:p>
                              </w:tc>
                              <w:tc>
                                <w:tcPr>
                                  <w:tcW w:w="225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r>
                              <w:trPr/>
                              <w:tc>
                                <w:tcPr>
                                  <w:tcW w:w="28" w:type="dxa"/>
                                  <w:tcBorders/>
                                </w:tcPr>
                                <w:p>
                                  <w:pPr>
                                    <w:pStyle w:val="TableContents"/>
                                    <w:bidi w:val="0"/>
                                    <w:spacing w:before="0" w:after="283"/>
                                    <w:jc w:val="left"/>
                                    <w:rPr/>
                                  </w:pPr>
                                  <w:r>
                                    <w:rPr/>
                                    <w:t> </w:t>
                                  </w:r>
                                </w:p>
                              </w:tc>
                              <w:tc>
                                <w:tcPr>
                                  <w:tcW w:w="67" w:type="dxa"/>
                                  <w:tcBorders/>
                                </w:tcPr>
                                <w:p>
                                  <w:pPr>
                                    <w:pStyle w:val="TableContents"/>
                                    <w:bidi w:val="0"/>
                                    <w:spacing w:before="0" w:after="283"/>
                                    <w:jc w:val="right"/>
                                    <w:rPr/>
                                  </w:pPr>
                                  <w:r>
                                    <w:rPr/>
                                    <w:t>2.</w:t>
                                  </w:r>
                                </w:p>
                              </w:tc>
                              <w:tc>
                                <w:tcPr>
                                  <w:tcW w:w="29" w:type="dxa"/>
                                  <w:tcBorders/>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28" w:type="dxa"/>
                                  <w:tcBorders/>
                                </w:tcPr>
                                <w:p>
                                  <w:pPr>
                                    <w:pStyle w:val="TableContents"/>
                                    <w:bidi w:val="0"/>
                                    <w:spacing w:before="0" w:after="283"/>
                                    <w:jc w:val="left"/>
                                    <w:rPr/>
                                  </w:pPr>
                                  <w:r>
                                    <w:rPr/>
                                    <w:t>Two or more individuals (joint account) other than an account maintained by an FFI</w:t>
                                  </w:r>
                                </w:p>
                              </w:tc>
                              <w:tc>
                                <w:tcPr>
                                  <w:tcW w:w="144" w:type="dxa"/>
                                  <w:tcBorders/>
                                  <w:vAlign w:val="bottom"/>
                                </w:tcPr>
                                <w:p>
                                  <w:pPr>
                                    <w:pStyle w:val="TableContents"/>
                                    <w:bidi w:val="0"/>
                                    <w:spacing w:before="0" w:after="283"/>
                                    <w:jc w:val="left"/>
                                    <w:rPr/>
                                  </w:pPr>
                                  <w:r>
                                    <w:rPr/>
                                    <w:t> </w:t>
                                  </w:r>
                                </w:p>
                              </w:tc>
                              <w:tc>
                                <w:tcPr>
                                  <w:tcW w:w="2373" w:type="dxa"/>
                                  <w:tcBorders/>
                                </w:tcPr>
                                <w:p>
                                  <w:pPr>
                                    <w:pStyle w:val="TableContents"/>
                                    <w:bidi w:val="0"/>
                                    <w:spacing w:before="0" w:after="283"/>
                                    <w:jc w:val="left"/>
                                    <w:rPr/>
                                  </w:pPr>
                                  <w:r>
                                    <w:rPr/>
                                    <w:t>The actual owner of the account or, if combined funds, the first individual on the account</w:t>
                                  </w:r>
                                </w:p>
                              </w:tc>
                            </w:tr>
                            <w:tr>
                              <w:trPr>
                                <w:trHeight w:val="30" w:hRule="atLeast"/>
                              </w:trPr>
                              <w:tc>
                                <w:tcPr>
                                  <w:tcW w:w="124" w:type="dxa"/>
                                  <w:gridSpan w:val="3"/>
                                  <w:tcBorders/>
                                  <w:vAlign w:val="center"/>
                                </w:tcPr>
                                <w:p>
                                  <w:pPr>
                                    <w:pStyle w:val="TableContents"/>
                                    <w:bidi w:val="0"/>
                                    <w:spacing w:before="0" w:after="283"/>
                                    <w:jc w:val="left"/>
                                    <w:rPr>
                                      <w:sz w:val="4"/>
                                      <w:szCs w:val="4"/>
                                    </w:rPr>
                                  </w:pPr>
                                  <w:r>
                                    <w:rPr>
                                      <w:sz w:val="4"/>
                                      <w:szCs w:val="4"/>
                                    </w:rPr>
                                  </w:r>
                                </w:p>
                              </w:tc>
                              <w:tc>
                                <w:tcPr>
                                  <w:tcW w:w="225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r>
                              <w:trPr/>
                              <w:tc>
                                <w:tcPr>
                                  <w:tcW w:w="28" w:type="dxa"/>
                                  <w:tcBorders/>
                                </w:tcPr>
                                <w:p>
                                  <w:pPr>
                                    <w:pStyle w:val="TableContents"/>
                                    <w:bidi w:val="0"/>
                                    <w:spacing w:before="0" w:after="283"/>
                                    <w:jc w:val="left"/>
                                    <w:rPr/>
                                  </w:pPr>
                                  <w:r>
                                    <w:rPr/>
                                    <w:t> </w:t>
                                  </w:r>
                                </w:p>
                              </w:tc>
                              <w:tc>
                                <w:tcPr>
                                  <w:tcW w:w="67" w:type="dxa"/>
                                  <w:tcBorders/>
                                </w:tcPr>
                                <w:p>
                                  <w:pPr>
                                    <w:pStyle w:val="TableContents"/>
                                    <w:bidi w:val="0"/>
                                    <w:spacing w:before="0" w:after="283"/>
                                    <w:jc w:val="right"/>
                                    <w:rPr/>
                                  </w:pPr>
                                  <w:r>
                                    <w:rPr/>
                                    <w:t>3.</w:t>
                                  </w:r>
                                </w:p>
                              </w:tc>
                              <w:tc>
                                <w:tcPr>
                                  <w:tcW w:w="29" w:type="dxa"/>
                                  <w:tcBorders/>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28" w:type="dxa"/>
                                  <w:tcBorders/>
                                </w:tcPr>
                                <w:p>
                                  <w:pPr>
                                    <w:pStyle w:val="TableContents"/>
                                    <w:bidi w:val="0"/>
                                    <w:spacing w:before="0" w:after="283"/>
                                    <w:jc w:val="left"/>
                                    <w:rPr/>
                                  </w:pPr>
                                  <w:r>
                                    <w:rPr/>
                                    <w:t>Two or more U.S. persons (joint account maintained by an FFI)</w:t>
                                  </w:r>
                                </w:p>
                              </w:tc>
                              <w:tc>
                                <w:tcPr>
                                  <w:tcW w:w="144" w:type="dxa"/>
                                  <w:tcBorders/>
                                  <w:vAlign w:val="bottom"/>
                                </w:tcPr>
                                <w:p>
                                  <w:pPr>
                                    <w:pStyle w:val="TableContents"/>
                                    <w:bidi w:val="0"/>
                                    <w:spacing w:before="0" w:after="283"/>
                                    <w:jc w:val="left"/>
                                    <w:rPr/>
                                  </w:pPr>
                                  <w:r>
                                    <w:rPr/>
                                    <w:t> </w:t>
                                  </w:r>
                                </w:p>
                              </w:tc>
                              <w:tc>
                                <w:tcPr>
                                  <w:tcW w:w="2373" w:type="dxa"/>
                                  <w:tcBorders/>
                                </w:tcPr>
                                <w:p>
                                  <w:pPr>
                                    <w:pStyle w:val="TableContents"/>
                                    <w:bidi w:val="0"/>
                                    <w:spacing w:before="0" w:after="283"/>
                                    <w:jc w:val="left"/>
                                    <w:rPr/>
                                  </w:pPr>
                                  <w:r>
                                    <w:rPr/>
                                    <w:t>Each holder of the account</w:t>
                                  </w:r>
                                </w:p>
                              </w:tc>
                            </w:tr>
                            <w:tr>
                              <w:trPr>
                                <w:trHeight w:val="30" w:hRule="atLeast"/>
                              </w:trPr>
                              <w:tc>
                                <w:tcPr>
                                  <w:tcW w:w="124" w:type="dxa"/>
                                  <w:gridSpan w:val="3"/>
                                  <w:tcBorders/>
                                  <w:vAlign w:val="center"/>
                                </w:tcPr>
                                <w:p>
                                  <w:pPr>
                                    <w:pStyle w:val="TableContents"/>
                                    <w:bidi w:val="0"/>
                                    <w:spacing w:before="0" w:after="283"/>
                                    <w:jc w:val="left"/>
                                    <w:rPr>
                                      <w:sz w:val="4"/>
                                      <w:szCs w:val="4"/>
                                    </w:rPr>
                                  </w:pPr>
                                  <w:r>
                                    <w:rPr>
                                      <w:sz w:val="4"/>
                                      <w:szCs w:val="4"/>
                                    </w:rPr>
                                  </w:r>
                                </w:p>
                              </w:tc>
                              <w:tc>
                                <w:tcPr>
                                  <w:tcW w:w="225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r>
                              <w:trPr/>
                              <w:tc>
                                <w:tcPr>
                                  <w:tcW w:w="28" w:type="dxa"/>
                                  <w:tcBorders/>
                                </w:tcPr>
                                <w:p>
                                  <w:pPr>
                                    <w:pStyle w:val="TableContents"/>
                                    <w:bidi w:val="0"/>
                                    <w:spacing w:before="0" w:after="283"/>
                                    <w:jc w:val="left"/>
                                    <w:rPr/>
                                  </w:pPr>
                                  <w:r>
                                    <w:rPr/>
                                    <w:t> </w:t>
                                  </w:r>
                                </w:p>
                              </w:tc>
                              <w:tc>
                                <w:tcPr>
                                  <w:tcW w:w="67" w:type="dxa"/>
                                  <w:tcBorders/>
                                </w:tcPr>
                                <w:p>
                                  <w:pPr>
                                    <w:pStyle w:val="TableContents"/>
                                    <w:bidi w:val="0"/>
                                    <w:spacing w:before="0" w:after="283"/>
                                    <w:jc w:val="right"/>
                                    <w:rPr/>
                                  </w:pPr>
                                  <w:r>
                                    <w:rPr/>
                                    <w:t>4.</w:t>
                                  </w:r>
                                </w:p>
                              </w:tc>
                              <w:tc>
                                <w:tcPr>
                                  <w:tcW w:w="29" w:type="dxa"/>
                                  <w:tcBorders/>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28" w:type="dxa"/>
                                  <w:tcBorders/>
                                </w:tcPr>
                                <w:p>
                                  <w:pPr>
                                    <w:pStyle w:val="TableContents"/>
                                    <w:bidi w:val="0"/>
                                    <w:spacing w:before="0" w:after="283"/>
                                    <w:jc w:val="left"/>
                                    <w:rPr/>
                                  </w:pPr>
                                  <w:r>
                                    <w:rPr/>
                                    <w:t>Custodial account of a minor (Uniform Gift to Minors Act)</w:t>
                                  </w:r>
                                </w:p>
                              </w:tc>
                              <w:tc>
                                <w:tcPr>
                                  <w:tcW w:w="144" w:type="dxa"/>
                                  <w:tcBorders/>
                                  <w:vAlign w:val="bottom"/>
                                </w:tcPr>
                                <w:p>
                                  <w:pPr>
                                    <w:pStyle w:val="TableContents"/>
                                    <w:bidi w:val="0"/>
                                    <w:spacing w:before="0" w:after="283"/>
                                    <w:jc w:val="left"/>
                                    <w:rPr/>
                                  </w:pPr>
                                  <w:r>
                                    <w:rPr/>
                                    <w:t> </w:t>
                                  </w:r>
                                </w:p>
                              </w:tc>
                              <w:tc>
                                <w:tcPr>
                                  <w:tcW w:w="2373" w:type="dxa"/>
                                  <w:tcBorders/>
                                </w:tcPr>
                                <w:p>
                                  <w:pPr>
                                    <w:pStyle w:val="TableContents"/>
                                    <w:bidi w:val="0"/>
                                    <w:spacing w:before="0" w:after="283"/>
                                    <w:jc w:val="left"/>
                                    <w:rPr/>
                                  </w:pPr>
                                  <w:r>
                                    <w:rPr/>
                                    <w:t>The minor</w:t>
                                  </w:r>
                                </w:p>
                              </w:tc>
                            </w:tr>
                            <w:tr>
                              <w:trPr>
                                <w:trHeight w:val="30" w:hRule="atLeast"/>
                              </w:trPr>
                              <w:tc>
                                <w:tcPr>
                                  <w:tcW w:w="124" w:type="dxa"/>
                                  <w:gridSpan w:val="3"/>
                                  <w:tcBorders/>
                                  <w:vAlign w:val="center"/>
                                </w:tcPr>
                                <w:p>
                                  <w:pPr>
                                    <w:pStyle w:val="TableContents"/>
                                    <w:bidi w:val="0"/>
                                    <w:spacing w:before="0" w:after="283"/>
                                    <w:jc w:val="left"/>
                                    <w:rPr>
                                      <w:sz w:val="4"/>
                                      <w:szCs w:val="4"/>
                                    </w:rPr>
                                  </w:pPr>
                                  <w:r>
                                    <w:rPr>
                                      <w:sz w:val="4"/>
                                      <w:szCs w:val="4"/>
                                    </w:rPr>
                                  </w:r>
                                </w:p>
                              </w:tc>
                              <w:tc>
                                <w:tcPr>
                                  <w:tcW w:w="225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r>
                              <w:trPr/>
                              <w:tc>
                                <w:tcPr>
                                  <w:tcW w:w="28" w:type="dxa"/>
                                  <w:tcBorders/>
                                </w:tcPr>
                                <w:p>
                                  <w:pPr>
                                    <w:pStyle w:val="TableContents"/>
                                    <w:bidi w:val="0"/>
                                    <w:spacing w:before="0" w:after="283"/>
                                    <w:jc w:val="left"/>
                                    <w:rPr/>
                                  </w:pPr>
                                  <w:r>
                                    <w:rPr/>
                                    <w:t> </w:t>
                                  </w:r>
                                </w:p>
                              </w:tc>
                              <w:tc>
                                <w:tcPr>
                                  <w:tcW w:w="67" w:type="dxa"/>
                                  <w:tcBorders/>
                                </w:tcPr>
                                <w:p>
                                  <w:pPr>
                                    <w:pStyle w:val="TableContents"/>
                                    <w:bidi w:val="0"/>
                                    <w:spacing w:before="0" w:after="283"/>
                                    <w:jc w:val="right"/>
                                    <w:rPr/>
                                  </w:pPr>
                                  <w:r>
                                    <w:rPr/>
                                    <w:t>5.</w:t>
                                  </w:r>
                                </w:p>
                              </w:tc>
                              <w:tc>
                                <w:tcPr>
                                  <w:tcW w:w="29" w:type="dxa"/>
                                  <w:tcBorders/>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28" w:type="dxa"/>
                                  <w:tcBorders/>
                                </w:tcPr>
                                <w:p>
                                  <w:pPr>
                                    <w:pStyle w:val="TableContents"/>
                                    <w:bidi w:val="0"/>
                                    <w:spacing w:before="0" w:after="283"/>
                                    <w:jc w:val="left"/>
                                    <w:rPr/>
                                  </w:pPr>
                                  <w:r>
                                    <w:rPr/>
                                    <w:t>a. The usual revocable savings trust (grantor is also trustee)</w:t>
                                  </w:r>
                                </w:p>
                              </w:tc>
                              <w:tc>
                                <w:tcPr>
                                  <w:tcW w:w="144" w:type="dxa"/>
                                  <w:tcBorders/>
                                  <w:vAlign w:val="bottom"/>
                                </w:tcPr>
                                <w:p>
                                  <w:pPr>
                                    <w:pStyle w:val="TableContents"/>
                                    <w:bidi w:val="0"/>
                                    <w:spacing w:before="0" w:after="283"/>
                                    <w:jc w:val="left"/>
                                    <w:rPr/>
                                  </w:pPr>
                                  <w:r>
                                    <w:rPr/>
                                    <w:t> </w:t>
                                  </w:r>
                                </w:p>
                              </w:tc>
                              <w:tc>
                                <w:tcPr>
                                  <w:tcW w:w="2373" w:type="dxa"/>
                                  <w:tcBorders/>
                                </w:tcPr>
                                <w:p>
                                  <w:pPr>
                                    <w:pStyle w:val="TableContents"/>
                                    <w:bidi w:val="0"/>
                                    <w:spacing w:before="0" w:after="283"/>
                                    <w:jc w:val="left"/>
                                    <w:rPr/>
                                  </w:pPr>
                                  <w:r>
                                    <w:rPr/>
                                    <w:t>The grantor-trustee</w:t>
                                  </w:r>
                                </w:p>
                              </w:tc>
                            </w:tr>
                            <w:tr>
                              <w:trPr/>
                              <w:tc>
                                <w:tcPr>
                                  <w:tcW w:w="28" w:type="dxa"/>
                                  <w:tcBorders/>
                                </w:tcPr>
                                <w:p>
                                  <w:pPr>
                                    <w:pStyle w:val="TableContents"/>
                                    <w:bidi w:val="0"/>
                                    <w:spacing w:before="0" w:after="283"/>
                                    <w:jc w:val="left"/>
                                    <w:rPr>
                                      <w:sz w:val="4"/>
                                      <w:szCs w:val="4"/>
                                    </w:rPr>
                                  </w:pPr>
                                  <w:r>
                                    <w:rPr>
                                      <w:sz w:val="4"/>
                                      <w:szCs w:val="4"/>
                                    </w:rPr>
                                  </w:r>
                                </w:p>
                              </w:tc>
                              <w:tc>
                                <w:tcPr>
                                  <w:tcW w:w="67" w:type="dxa"/>
                                  <w:tcBorders/>
                                </w:tcPr>
                                <w:p>
                                  <w:pPr>
                                    <w:pStyle w:val="TableContents"/>
                                    <w:bidi w:val="0"/>
                                    <w:spacing w:before="0" w:after="283"/>
                                    <w:jc w:val="left"/>
                                    <w:rPr>
                                      <w:sz w:val="4"/>
                                      <w:szCs w:val="4"/>
                                    </w:rPr>
                                  </w:pPr>
                                  <w:r>
                                    <w:rPr>
                                      <w:sz w:val="4"/>
                                      <w:szCs w:val="4"/>
                                    </w:rPr>
                                  </w:r>
                                </w:p>
                              </w:tc>
                              <w:tc>
                                <w:tcPr>
                                  <w:tcW w:w="29" w:type="dxa"/>
                                  <w:tcBorders/>
                                </w:tcPr>
                                <w:p>
                                  <w:pPr>
                                    <w:pStyle w:val="TableContents"/>
                                    <w:bidi w:val="0"/>
                                    <w:spacing w:before="0" w:after="283"/>
                                    <w:jc w:val="left"/>
                                    <w:rPr>
                                      <w:sz w:val="4"/>
                                      <w:szCs w:val="4"/>
                                    </w:rPr>
                                  </w:pPr>
                                  <w:r>
                                    <w:rPr>
                                      <w:sz w:val="4"/>
                                      <w:szCs w:val="4"/>
                                    </w:rPr>
                                  </w:r>
                                </w:p>
                              </w:tc>
                              <w:tc>
                                <w:tcPr>
                                  <w:tcW w:w="29" w:type="dxa"/>
                                  <w:tcBorders/>
                                  <w:vAlign w:val="bottom"/>
                                </w:tcPr>
                                <w:p>
                                  <w:pPr>
                                    <w:pStyle w:val="TableContents"/>
                                    <w:bidi w:val="0"/>
                                    <w:spacing w:before="0" w:after="283"/>
                                    <w:jc w:val="left"/>
                                    <w:rPr/>
                                  </w:pPr>
                                  <w:r>
                                    <w:rPr/>
                                    <w:t> </w:t>
                                  </w:r>
                                </w:p>
                              </w:tc>
                              <w:tc>
                                <w:tcPr>
                                  <w:tcW w:w="2228" w:type="dxa"/>
                                  <w:tcBorders/>
                                </w:tcPr>
                                <w:p>
                                  <w:pPr>
                                    <w:pStyle w:val="TableContents"/>
                                    <w:bidi w:val="0"/>
                                    <w:spacing w:before="0" w:after="283"/>
                                    <w:jc w:val="left"/>
                                    <w:rPr/>
                                  </w:pPr>
                                  <w:r>
                                    <w:rPr/>
                                    <w:t>b. So-called trust account that is not a legal or valid trust under state law</w:t>
                                  </w:r>
                                </w:p>
                              </w:tc>
                              <w:tc>
                                <w:tcPr>
                                  <w:tcW w:w="144" w:type="dxa"/>
                                  <w:tcBorders/>
                                  <w:vAlign w:val="bottom"/>
                                </w:tcPr>
                                <w:p>
                                  <w:pPr>
                                    <w:pStyle w:val="TableContents"/>
                                    <w:bidi w:val="0"/>
                                    <w:spacing w:before="0" w:after="283"/>
                                    <w:jc w:val="left"/>
                                    <w:rPr/>
                                  </w:pPr>
                                  <w:r>
                                    <w:rPr/>
                                    <w:t> </w:t>
                                  </w:r>
                                </w:p>
                              </w:tc>
                              <w:tc>
                                <w:tcPr>
                                  <w:tcW w:w="2373" w:type="dxa"/>
                                  <w:tcBorders/>
                                </w:tcPr>
                                <w:p>
                                  <w:pPr>
                                    <w:pStyle w:val="TableContents"/>
                                    <w:bidi w:val="0"/>
                                    <w:spacing w:before="0" w:after="283"/>
                                    <w:jc w:val="left"/>
                                    <w:rPr/>
                                  </w:pPr>
                                  <w:r>
                                    <w:rPr/>
                                    <w:t>The actual owner</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Times New Roman" w:hAnsi="Times New Roman"/>
                          <w:sz w:val="16"/>
                        </w:rPr>
                      </w:pPr>
                      <w:r>
                        <w:rPr>
                          <w:rFonts w:ascii="Times New Roman" w:hAnsi="Times New Roman"/>
                          <w:sz w:val="16"/>
                        </w:rPr>
                        <w:t xml:space="preserve">If you are asked to complete Form W-9 but do not have a TIN, apply for a TIN and enter “Applied For” in the space for the TIN, sign and date the form, and give it to the requester. For interest and dividend payments, and certain payments made with respect to readily tradable instruments, you will generally have 60 days to get a TIN and give it to the requester before you are subject to backup withholding on payments. The 60-day rule does not apply to other types of payments. You will be subject to backup withholding on all such payments until you provide your TIN to the requester. </w:t>
                      </w:r>
                    </w:p>
                    <w:p>
                      <w:pPr>
                        <w:pStyle w:val="TextBody"/>
                        <w:bidi w:val="0"/>
                        <w:spacing w:before="40" w:after="0"/>
                        <w:jc w:val="left"/>
                        <w:rPr>
                          <w:rFonts w:ascii="Times New Roman" w:hAnsi="Times New Roman"/>
                          <w:sz w:val="16"/>
                        </w:rPr>
                      </w:pPr>
                      <w:r>
                        <w:rPr>
                          <w:rFonts w:ascii="Times New Roman" w:hAnsi="Times New Roman"/>
                          <w:b/>
                          <w:sz w:val="16"/>
                        </w:rPr>
                        <w:t>Note:</w:t>
                      </w:r>
                      <w:r>
                        <w:rPr>
                          <w:rFonts w:ascii="Times New Roman" w:hAnsi="Times New Roman"/>
                          <w:sz w:val="16"/>
                        </w:rPr>
                        <w:t xml:space="preserve"> Entering “Applied For” means that you have already applied for a TIN or that you intend to apply for one soon. See also </w:t>
                      </w:r>
                      <w:r>
                        <w:rPr>
                          <w:rFonts w:ascii="Times New Roman" w:hAnsi="Times New Roman"/>
                          <w:i/>
                          <w:sz w:val="16"/>
                        </w:rPr>
                        <w:t>Establishing U.S. status for purposes of chapter 3 and chapter 4 withholding</w:t>
                      </w:r>
                      <w:r>
                        <w:rPr>
                          <w:rFonts w:ascii="Times New Roman" w:hAnsi="Times New Roman"/>
                          <w:sz w:val="16"/>
                        </w:rPr>
                        <w:t xml:space="preserve">, earlier, for when you may instead be subject to withholding under chapter 3 or 4 of the Code. </w:t>
                      </w:r>
                    </w:p>
                    <w:p>
                      <w:pPr>
                        <w:pStyle w:val="TextBody"/>
                        <w:bidi w:val="0"/>
                        <w:spacing w:before="40" w:after="0"/>
                        <w:jc w:val="left"/>
                        <w:rPr>
                          <w:rFonts w:ascii="Times New Roman" w:hAnsi="Times New Roman"/>
                          <w:sz w:val="16"/>
                        </w:rPr>
                      </w:pPr>
                      <w:r>
                        <w:rPr>
                          <w:rFonts w:ascii="Times New Roman" w:hAnsi="Times New Roman"/>
                          <w:b/>
                          <w:sz w:val="16"/>
                        </w:rPr>
                        <w:t>Caution:</w:t>
                      </w:r>
                      <w:r>
                        <w:rPr>
                          <w:rFonts w:ascii="Times New Roman" w:hAnsi="Times New Roman"/>
                          <w:sz w:val="16"/>
                        </w:rPr>
                        <w:t xml:space="preserve"> A disregarded U.S. entity that has a foreign owner must use the appropriate Form W-8.</w:t>
                      </w:r>
                    </w:p>
                    <w:p>
                      <w:pPr>
                        <w:pStyle w:val="TextBody"/>
                        <w:bidi w:val="0"/>
                        <w:spacing w:before="120" w:after="0"/>
                        <w:jc w:val="left"/>
                        <w:rPr>
                          <w:rFonts w:ascii="Times New Roman" w:hAnsi="Times New Roman"/>
                          <w:b/>
                          <w:sz w:val="24"/>
                        </w:rPr>
                      </w:pPr>
                      <w:r>
                        <w:rPr>
                          <w:rFonts w:ascii="Times New Roman" w:hAnsi="Times New Roman"/>
                          <w:b/>
                          <w:sz w:val="24"/>
                        </w:rPr>
                        <w:t xml:space="preserve">Part II. Certification </w:t>
                      </w:r>
                    </w:p>
                    <w:p>
                      <w:pPr>
                        <w:pStyle w:val="TextBody"/>
                        <w:bidi w:val="0"/>
                        <w:spacing w:before="120" w:after="0"/>
                        <w:jc w:val="left"/>
                        <w:rPr>
                          <w:rFonts w:ascii="Times New Roman" w:hAnsi="Times New Roman"/>
                          <w:sz w:val="16"/>
                        </w:rPr>
                      </w:pPr>
                      <w:r>
                        <w:rPr>
                          <w:rFonts w:ascii="Times New Roman" w:hAnsi="Times New Roman"/>
                          <w:sz w:val="16"/>
                        </w:rPr>
                        <w:t xml:space="preserve">To establish to the withholding agent that you are a U.S. person, or resident alien, sign Form W-9. You may be requested to sign by the withholding agent even if item 1, 4, or 5 below indicates otherwise. </w:t>
                      </w:r>
                    </w:p>
                    <w:p>
                      <w:pPr>
                        <w:pStyle w:val="TextBody"/>
                        <w:bidi w:val="0"/>
                        <w:spacing w:before="40" w:after="0"/>
                        <w:jc w:val="left"/>
                        <w:rPr>
                          <w:rFonts w:ascii="Times New Roman" w:hAnsi="Times New Roman"/>
                          <w:sz w:val="16"/>
                        </w:rPr>
                      </w:pPr>
                      <w:r>
                        <w:rPr>
                          <w:rFonts w:ascii="Times New Roman" w:hAnsi="Times New Roman"/>
                          <w:sz w:val="16"/>
                        </w:rPr>
                        <w:t xml:space="preserve">For a joint account, only the person whose TIN is shown in Part I should sign (when required). In the case of a disregarded entity, the person identified on line 1 must sign. Exempt payees, see </w:t>
                      </w:r>
                      <w:r>
                        <w:rPr>
                          <w:rFonts w:ascii="Times New Roman" w:hAnsi="Times New Roman"/>
                          <w:i/>
                          <w:sz w:val="16"/>
                        </w:rPr>
                        <w:t>Exempt payee code</w:t>
                      </w:r>
                      <w:r>
                        <w:rPr>
                          <w:rFonts w:ascii="Times New Roman" w:hAnsi="Times New Roman"/>
                          <w:sz w:val="16"/>
                        </w:rPr>
                        <w:t xml:space="preserve">, earlier. </w:t>
                      </w:r>
                    </w:p>
                    <w:p>
                      <w:pPr>
                        <w:pStyle w:val="TextBody"/>
                        <w:bidi w:val="0"/>
                        <w:spacing w:before="40" w:after="0"/>
                        <w:jc w:val="left"/>
                        <w:rPr>
                          <w:rFonts w:ascii="Times New Roman" w:hAnsi="Times New Roman"/>
                          <w:sz w:val="16"/>
                        </w:rPr>
                      </w:pPr>
                      <w:r>
                        <w:rPr>
                          <w:rFonts w:ascii="Times New Roman" w:hAnsi="Times New Roman"/>
                          <w:b/>
                          <w:sz w:val="16"/>
                        </w:rPr>
                        <w:t>Signature requirements.</w:t>
                      </w:r>
                      <w:r>
                        <w:rPr>
                          <w:rFonts w:ascii="Times New Roman" w:hAnsi="Times New Roman"/>
                          <w:sz w:val="16"/>
                        </w:rPr>
                        <w:t xml:space="preserve"> Complete the certification as indicated in items 1 through 5 below. </w:t>
                      </w:r>
                    </w:p>
                    <w:p>
                      <w:pPr>
                        <w:pStyle w:val="TextBody"/>
                        <w:bidi w:val="0"/>
                        <w:spacing w:before="40" w:after="0"/>
                        <w:jc w:val="left"/>
                        <w:rPr>
                          <w:rFonts w:ascii="Times New Roman" w:hAnsi="Times New Roman"/>
                          <w:sz w:val="16"/>
                        </w:rPr>
                      </w:pPr>
                      <w:r>
                        <w:rPr>
                          <w:rFonts w:ascii="Times New Roman" w:hAnsi="Times New Roman"/>
                          <w:b/>
                          <w:sz w:val="16"/>
                        </w:rPr>
                        <w:t>1. Interest, dividend, and barter exchange accounts opened before 1984 and broker accounts considered active during 1983.</w:t>
                      </w:r>
                      <w:r>
                        <w:rPr>
                          <w:rFonts w:ascii="Times New Roman" w:hAnsi="Times New Roman"/>
                          <w:sz w:val="16"/>
                        </w:rPr>
                        <w:t xml:space="preserve"> You must give your correct TIN, but you do not have to sign the certification. </w:t>
                      </w:r>
                    </w:p>
                    <w:p>
                      <w:pPr>
                        <w:pStyle w:val="TextBody"/>
                        <w:bidi w:val="0"/>
                        <w:spacing w:before="40" w:after="0"/>
                        <w:jc w:val="left"/>
                        <w:rPr>
                          <w:rFonts w:ascii="Times New Roman" w:hAnsi="Times New Roman"/>
                          <w:sz w:val="16"/>
                        </w:rPr>
                      </w:pPr>
                      <w:r>
                        <w:rPr>
                          <w:rFonts w:ascii="Times New Roman" w:hAnsi="Times New Roman"/>
                          <w:b/>
                          <w:sz w:val="16"/>
                        </w:rPr>
                        <w:t>2. Interest, dividend, broker, and barter exchange accounts opened after 1983 and broker accounts considered inactive during 1983.</w:t>
                      </w:r>
                      <w:r>
                        <w:rPr>
                          <w:rFonts w:ascii="Times New Roman" w:hAnsi="Times New Roman"/>
                          <w:sz w:val="16"/>
                        </w:rPr>
                        <w:t xml:space="preserve"> You must sign the certification or backup withholding will apply. If you are subject to backup withholding and you are merely providing your correct TIN to the requester, you must cross out item 2 in the certification before signing the form. </w:t>
                      </w:r>
                    </w:p>
                    <w:p>
                      <w:pPr>
                        <w:pStyle w:val="TextBody"/>
                        <w:bidi w:val="0"/>
                        <w:spacing w:before="40" w:after="0"/>
                        <w:jc w:val="left"/>
                        <w:rPr>
                          <w:rFonts w:ascii="Times New Roman" w:hAnsi="Times New Roman"/>
                          <w:sz w:val="16"/>
                        </w:rPr>
                      </w:pPr>
                      <w:r>
                        <w:rPr>
                          <w:rFonts w:ascii="Times New Roman" w:hAnsi="Times New Roman"/>
                          <w:b/>
                          <w:sz w:val="16"/>
                        </w:rPr>
                        <w:t>3. Real estate transactions.</w:t>
                      </w:r>
                      <w:r>
                        <w:rPr>
                          <w:rFonts w:ascii="Times New Roman" w:hAnsi="Times New Roman"/>
                          <w:sz w:val="16"/>
                        </w:rPr>
                        <w:t xml:space="preserve"> You must sign the certification. You may cross out item 2 of the certification. </w:t>
                      </w:r>
                    </w:p>
                    <w:p>
                      <w:pPr>
                        <w:pStyle w:val="TextBody"/>
                        <w:bidi w:val="0"/>
                        <w:spacing w:before="40" w:after="0"/>
                        <w:jc w:val="left"/>
                        <w:rPr>
                          <w:rFonts w:ascii="Times New Roman" w:hAnsi="Times New Roman"/>
                          <w:sz w:val="16"/>
                        </w:rPr>
                      </w:pPr>
                      <w:r>
                        <w:rPr>
                          <w:rFonts w:ascii="Times New Roman" w:hAnsi="Times New Roman"/>
                          <w:b/>
                          <w:sz w:val="16"/>
                        </w:rPr>
                        <w:t>4. Other payments.</w:t>
                      </w:r>
                      <w:r>
                        <w:rPr>
                          <w:rFonts w:ascii="Times New Roman" w:hAnsi="Times New Roman"/>
                          <w:sz w:val="16"/>
                        </w:rPr>
                        <w:t xml:space="preserve"> You must give your correct TIN, but you do not have to sign the certification unless you have been notified that you have previously given an incorrect TIN. “Other payments” include payments made in the course of the requester’s trade or business for rents, royalties, goods (other than bills for merchandise), medical and health care services (including payments to corporations), payments to a nonemployee for services, payments made in settlement of payment card and third-party network transactions, payments to certain fishing boat crew members and fishermen, and gross proceeds paid to attorneys (including payments to corporations). </w:t>
                      </w:r>
                    </w:p>
                    <w:p>
                      <w:pPr>
                        <w:pStyle w:val="TextBody"/>
                        <w:bidi w:val="0"/>
                        <w:spacing w:before="40" w:after="0"/>
                        <w:jc w:val="left"/>
                        <w:rPr>
                          <w:rFonts w:ascii="Times New Roman" w:hAnsi="Times New Roman"/>
                          <w:sz w:val="16"/>
                        </w:rPr>
                      </w:pPr>
                      <w:r>
                        <w:rPr>
                          <w:rFonts w:ascii="Times New Roman" w:hAnsi="Times New Roman"/>
                          <w:b/>
                          <w:sz w:val="16"/>
                        </w:rPr>
                        <w:t>5. Mortgage interest paid by you, acquisition or abandonment of secured property, cancellation of debt, qualified tuition program payments (under section 529), ABLE accounts (under section 529A), IRA, Coverdell ESA, Archer MSA or HSA contributions or distributions, and pension distributions.</w:t>
                      </w:r>
                      <w:r>
                        <w:rPr>
                          <w:rFonts w:ascii="Times New Roman" w:hAnsi="Times New Roman"/>
                          <w:sz w:val="16"/>
                        </w:rPr>
                        <w:t xml:space="preserve"> You must give your correct TIN, but you do not have to sign the certification. </w:t>
                      </w:r>
                    </w:p>
                    <w:p>
                      <w:pPr>
                        <w:pStyle w:val="TextBody"/>
                        <w:bidi w:val="0"/>
                        <w:spacing w:before="120" w:after="0"/>
                        <w:jc w:val="left"/>
                        <w:rPr>
                          <w:rFonts w:ascii="Times New Roman" w:hAnsi="Times New Roman"/>
                          <w:b/>
                          <w:sz w:val="24"/>
                        </w:rPr>
                      </w:pPr>
                      <w:r>
                        <w:rPr>
                          <w:rFonts w:ascii="Times New Roman" w:hAnsi="Times New Roman"/>
                          <w:b/>
                          <w:sz w:val="24"/>
                        </w:rPr>
                        <w:t xml:space="preserve">What Name and Number To Give the Requester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
                        <w:gridCol w:w="67"/>
                        <w:gridCol w:w="29"/>
                        <w:gridCol w:w="29"/>
                        <w:gridCol w:w="2228"/>
                        <w:gridCol w:w="144"/>
                        <w:gridCol w:w="2373"/>
                      </w:tblGrid>
                      <w:tr>
                        <w:trPr/>
                        <w:tc>
                          <w:tcPr>
                            <w:tcW w:w="28"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29" w:type="dxa"/>
                            <w:tcBorders/>
                            <w:vAlign w:val="bottom"/>
                          </w:tcPr>
                          <w:p>
                            <w:pPr>
                              <w:pStyle w:val="TableContents"/>
                              <w:bidi w:val="0"/>
                              <w:spacing w:before="0" w:after="283"/>
                              <w:jc w:val="left"/>
                              <w:rPr>
                                <w:sz w:val="4"/>
                                <w:szCs w:val="4"/>
                              </w:rPr>
                            </w:pPr>
                            <w:r>
                              <w:rPr>
                                <w:sz w:val="4"/>
                                <w:szCs w:val="4"/>
                              </w:rPr>
                            </w:r>
                          </w:p>
                        </w:tc>
                        <w:tc>
                          <w:tcPr>
                            <w:tcW w:w="29" w:type="dxa"/>
                            <w:tcBorders/>
                            <w:vAlign w:val="bottom"/>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124" w:type="dxa"/>
                            <w:gridSpan w:val="3"/>
                            <w:tcBorders>
                              <w:top w:val="single" w:sz="2" w:space="0" w:color="000000"/>
                            </w:tcBorders>
                            <w:tcMar>
                              <w:top w:w="28" w:type="dxa"/>
                            </w:tcMar>
                            <w:vAlign w:val="center"/>
                          </w:tcPr>
                          <w:p>
                            <w:pPr>
                              <w:pStyle w:val="TableContents"/>
                              <w:bidi w:val="0"/>
                              <w:spacing w:before="0" w:after="283"/>
                              <w:jc w:val="left"/>
                              <w:rPr/>
                            </w:pPr>
                            <w:r>
                              <w:rPr/>
                              <w:t> </w:t>
                            </w:r>
                          </w:p>
                        </w:tc>
                        <w:tc>
                          <w:tcPr>
                            <w:tcW w:w="2257" w:type="dxa"/>
                            <w:gridSpan w:val="2"/>
                            <w:tcBorders>
                              <w:top w:val="single" w:sz="2" w:space="0" w:color="000000"/>
                            </w:tcBorders>
                            <w:tcMar>
                              <w:top w:w="28" w:type="dxa"/>
                            </w:tcMar>
                            <w:vAlign w:val="center"/>
                          </w:tcPr>
                          <w:p>
                            <w:pPr>
                              <w:pStyle w:val="TableContents"/>
                              <w:bidi w:val="0"/>
                              <w:spacing w:before="0" w:after="283"/>
                              <w:jc w:val="left"/>
                              <w:rPr/>
                            </w:pPr>
                            <w:r>
                              <w:rPr/>
                              <w:t> </w:t>
                            </w:r>
                          </w:p>
                        </w:tc>
                        <w:tc>
                          <w:tcPr>
                            <w:tcW w:w="2517" w:type="dxa"/>
                            <w:gridSpan w:val="2"/>
                            <w:tcBorders>
                              <w:top w:val="single" w:sz="2" w:space="0" w:color="000000"/>
                            </w:tcBorders>
                            <w:tcMar>
                              <w:top w:w="28" w:type="dxa"/>
                            </w:tcMar>
                            <w:vAlign w:val="center"/>
                          </w:tcPr>
                          <w:p>
                            <w:pPr>
                              <w:pStyle w:val="TableContents"/>
                              <w:bidi w:val="0"/>
                              <w:spacing w:before="0" w:after="283"/>
                              <w:jc w:val="left"/>
                              <w:rPr/>
                            </w:pPr>
                            <w:r>
                              <w:rPr/>
                              <w:t> </w:t>
                            </w:r>
                          </w:p>
                        </w:tc>
                      </w:tr>
                      <w:tr>
                        <w:trPr/>
                        <w:tc>
                          <w:tcPr>
                            <w:tcW w:w="95" w:type="dxa"/>
                            <w:gridSpan w:val="2"/>
                            <w:tcBorders>
                              <w:bottom w:val="single" w:sz="2" w:space="0" w:color="000000"/>
                            </w:tcBorders>
                            <w:tcMar>
                              <w:bottom w:w="28" w:type="dxa"/>
                            </w:tcMar>
                            <w:vAlign w:val="bottom"/>
                          </w:tcPr>
                          <w:p>
                            <w:pPr>
                              <w:pStyle w:val="TableContents"/>
                              <w:bidi w:val="0"/>
                              <w:spacing w:before="0" w:after="283"/>
                              <w:jc w:val="left"/>
                              <w:rPr/>
                            </w:pPr>
                            <w:r>
                              <w:rPr/>
                              <w:t>  </w:t>
                            </w:r>
                          </w:p>
                        </w:tc>
                        <w:tc>
                          <w:tcPr>
                            <w:tcW w:w="29" w:type="dxa"/>
                            <w:tcBorders>
                              <w:bottom w:val="single" w:sz="2" w:space="0" w:color="000000"/>
                            </w:tcBorders>
                            <w:tcMar>
                              <w:bottom w:w="28" w:type="dxa"/>
                            </w:tcMar>
                            <w:vAlign w:val="bottom"/>
                          </w:tcPr>
                          <w:p>
                            <w:pPr>
                              <w:pStyle w:val="TableContents"/>
                              <w:bidi w:val="0"/>
                              <w:spacing w:before="0" w:after="283"/>
                              <w:jc w:val="left"/>
                              <w:rPr/>
                            </w:pPr>
                            <w:r>
                              <w:rPr/>
                              <w:t> </w:t>
                            </w:r>
                          </w:p>
                        </w:tc>
                        <w:tc>
                          <w:tcPr>
                            <w:tcW w:w="29" w:type="dxa"/>
                            <w:tcBorders>
                              <w:bottom w:val="single" w:sz="2" w:space="0" w:color="000000"/>
                            </w:tcBorders>
                            <w:tcMar>
                              <w:bottom w:w="28" w:type="dxa"/>
                            </w:tcMar>
                            <w:vAlign w:val="bottom"/>
                          </w:tcPr>
                          <w:p>
                            <w:pPr>
                              <w:pStyle w:val="TableContents"/>
                              <w:bidi w:val="0"/>
                              <w:spacing w:before="0" w:after="283"/>
                              <w:jc w:val="left"/>
                              <w:rPr/>
                            </w:pPr>
                            <w:r>
                              <w:rPr/>
                              <w:t> </w:t>
                            </w:r>
                          </w:p>
                        </w:tc>
                        <w:tc>
                          <w:tcPr>
                            <w:tcW w:w="2228" w:type="dxa"/>
                            <w:tcBorders>
                              <w:bottom w:val="single" w:sz="2" w:space="0" w:color="000000"/>
                            </w:tcBorders>
                            <w:tcMar>
                              <w:bottom w:w="28" w:type="dxa"/>
                            </w:tcMar>
                            <w:vAlign w:val="bottom"/>
                          </w:tcPr>
                          <w:p>
                            <w:pPr>
                              <w:pStyle w:val="TableContents"/>
                              <w:bidi w:val="0"/>
                              <w:spacing w:before="0" w:after="283"/>
                              <w:jc w:val="center"/>
                              <w:rPr>
                                <w:b/>
                              </w:rPr>
                            </w:pPr>
                            <w:r>
                              <w:rPr>
                                <w:b/>
                              </w:rPr>
                              <w:t>For this type of account:</w:t>
                            </w:r>
                          </w:p>
                        </w:tc>
                        <w:tc>
                          <w:tcPr>
                            <w:tcW w:w="144" w:type="dxa"/>
                            <w:tcBorders>
                              <w:bottom w:val="single" w:sz="2" w:space="0" w:color="000000"/>
                            </w:tcBorders>
                            <w:tcMar>
                              <w:bottom w:w="28" w:type="dxa"/>
                            </w:tcMar>
                            <w:vAlign w:val="bottom"/>
                          </w:tcPr>
                          <w:p>
                            <w:pPr>
                              <w:pStyle w:val="TableContents"/>
                              <w:bidi w:val="0"/>
                              <w:spacing w:before="0" w:after="283"/>
                              <w:jc w:val="left"/>
                              <w:rPr/>
                            </w:pPr>
                            <w:r>
                              <w:rPr/>
                              <w:t> </w:t>
                            </w:r>
                          </w:p>
                        </w:tc>
                        <w:tc>
                          <w:tcPr>
                            <w:tcW w:w="2373" w:type="dxa"/>
                            <w:tcBorders>
                              <w:bottom w:val="single" w:sz="2" w:space="0" w:color="000000"/>
                            </w:tcBorders>
                            <w:tcMar>
                              <w:bottom w:w="28" w:type="dxa"/>
                            </w:tcMar>
                            <w:vAlign w:val="bottom"/>
                          </w:tcPr>
                          <w:p>
                            <w:pPr>
                              <w:pStyle w:val="TableContents"/>
                              <w:bidi w:val="0"/>
                              <w:spacing w:before="0" w:after="283"/>
                              <w:jc w:val="center"/>
                              <w:rPr>
                                <w:b/>
                              </w:rPr>
                            </w:pPr>
                            <w:r>
                              <w:rPr>
                                <w:b/>
                              </w:rPr>
                              <w:t>Give name and SSN of:</w:t>
                            </w:r>
                          </w:p>
                        </w:tc>
                      </w:tr>
                      <w:tr>
                        <w:trPr>
                          <w:trHeight w:val="30" w:hRule="atLeast"/>
                        </w:trPr>
                        <w:tc>
                          <w:tcPr>
                            <w:tcW w:w="124" w:type="dxa"/>
                            <w:gridSpan w:val="3"/>
                            <w:tcBorders/>
                            <w:vAlign w:val="center"/>
                          </w:tcPr>
                          <w:p>
                            <w:pPr>
                              <w:pStyle w:val="TableContents"/>
                              <w:bidi w:val="0"/>
                              <w:spacing w:before="0" w:after="283"/>
                              <w:jc w:val="left"/>
                              <w:rPr>
                                <w:sz w:val="4"/>
                                <w:szCs w:val="4"/>
                              </w:rPr>
                            </w:pPr>
                            <w:r>
                              <w:rPr>
                                <w:sz w:val="4"/>
                                <w:szCs w:val="4"/>
                              </w:rPr>
                            </w:r>
                          </w:p>
                        </w:tc>
                        <w:tc>
                          <w:tcPr>
                            <w:tcW w:w="225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r>
                        <w:trPr/>
                        <w:tc>
                          <w:tcPr>
                            <w:tcW w:w="28" w:type="dxa"/>
                            <w:tcBorders/>
                          </w:tcPr>
                          <w:p>
                            <w:pPr>
                              <w:pStyle w:val="TableContents"/>
                              <w:bidi w:val="0"/>
                              <w:spacing w:before="0" w:after="283"/>
                              <w:jc w:val="left"/>
                              <w:rPr/>
                            </w:pPr>
                            <w:r>
                              <w:rPr/>
                              <w:t> </w:t>
                            </w:r>
                          </w:p>
                        </w:tc>
                        <w:tc>
                          <w:tcPr>
                            <w:tcW w:w="67" w:type="dxa"/>
                            <w:tcBorders/>
                          </w:tcPr>
                          <w:p>
                            <w:pPr>
                              <w:pStyle w:val="TableContents"/>
                              <w:bidi w:val="0"/>
                              <w:spacing w:before="0" w:after="283"/>
                              <w:jc w:val="right"/>
                              <w:rPr/>
                            </w:pPr>
                            <w:r>
                              <w:rPr/>
                              <w:t>1.</w:t>
                            </w:r>
                          </w:p>
                        </w:tc>
                        <w:tc>
                          <w:tcPr>
                            <w:tcW w:w="29" w:type="dxa"/>
                            <w:tcBorders/>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28" w:type="dxa"/>
                            <w:tcBorders/>
                          </w:tcPr>
                          <w:p>
                            <w:pPr>
                              <w:pStyle w:val="TableContents"/>
                              <w:bidi w:val="0"/>
                              <w:spacing w:before="0" w:after="283"/>
                              <w:jc w:val="left"/>
                              <w:rPr/>
                            </w:pPr>
                            <w:r>
                              <w:rPr/>
                              <w:t>Individual</w:t>
                            </w:r>
                          </w:p>
                        </w:tc>
                        <w:tc>
                          <w:tcPr>
                            <w:tcW w:w="144" w:type="dxa"/>
                            <w:tcBorders/>
                            <w:vAlign w:val="bottom"/>
                          </w:tcPr>
                          <w:p>
                            <w:pPr>
                              <w:pStyle w:val="TableContents"/>
                              <w:bidi w:val="0"/>
                              <w:spacing w:before="0" w:after="283"/>
                              <w:jc w:val="left"/>
                              <w:rPr/>
                            </w:pPr>
                            <w:r>
                              <w:rPr/>
                              <w:t> </w:t>
                            </w:r>
                          </w:p>
                        </w:tc>
                        <w:tc>
                          <w:tcPr>
                            <w:tcW w:w="2373" w:type="dxa"/>
                            <w:tcBorders/>
                          </w:tcPr>
                          <w:p>
                            <w:pPr>
                              <w:pStyle w:val="TableContents"/>
                              <w:bidi w:val="0"/>
                              <w:spacing w:before="0" w:after="283"/>
                              <w:jc w:val="left"/>
                              <w:rPr/>
                            </w:pPr>
                            <w:r>
                              <w:rPr/>
                              <w:t>The individual</w:t>
                            </w:r>
                          </w:p>
                        </w:tc>
                      </w:tr>
                      <w:tr>
                        <w:trPr>
                          <w:trHeight w:val="30" w:hRule="atLeast"/>
                        </w:trPr>
                        <w:tc>
                          <w:tcPr>
                            <w:tcW w:w="124" w:type="dxa"/>
                            <w:gridSpan w:val="3"/>
                            <w:tcBorders/>
                            <w:vAlign w:val="center"/>
                          </w:tcPr>
                          <w:p>
                            <w:pPr>
                              <w:pStyle w:val="TableContents"/>
                              <w:bidi w:val="0"/>
                              <w:spacing w:before="0" w:after="283"/>
                              <w:jc w:val="left"/>
                              <w:rPr>
                                <w:sz w:val="4"/>
                                <w:szCs w:val="4"/>
                              </w:rPr>
                            </w:pPr>
                            <w:r>
                              <w:rPr>
                                <w:sz w:val="4"/>
                                <w:szCs w:val="4"/>
                              </w:rPr>
                            </w:r>
                          </w:p>
                        </w:tc>
                        <w:tc>
                          <w:tcPr>
                            <w:tcW w:w="225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r>
                        <w:trPr/>
                        <w:tc>
                          <w:tcPr>
                            <w:tcW w:w="28" w:type="dxa"/>
                            <w:tcBorders/>
                          </w:tcPr>
                          <w:p>
                            <w:pPr>
                              <w:pStyle w:val="TableContents"/>
                              <w:bidi w:val="0"/>
                              <w:spacing w:before="0" w:after="283"/>
                              <w:jc w:val="left"/>
                              <w:rPr/>
                            </w:pPr>
                            <w:r>
                              <w:rPr/>
                              <w:t> </w:t>
                            </w:r>
                          </w:p>
                        </w:tc>
                        <w:tc>
                          <w:tcPr>
                            <w:tcW w:w="67" w:type="dxa"/>
                            <w:tcBorders/>
                          </w:tcPr>
                          <w:p>
                            <w:pPr>
                              <w:pStyle w:val="TableContents"/>
                              <w:bidi w:val="0"/>
                              <w:spacing w:before="0" w:after="283"/>
                              <w:jc w:val="right"/>
                              <w:rPr/>
                            </w:pPr>
                            <w:r>
                              <w:rPr/>
                              <w:t>2.</w:t>
                            </w:r>
                          </w:p>
                        </w:tc>
                        <w:tc>
                          <w:tcPr>
                            <w:tcW w:w="29" w:type="dxa"/>
                            <w:tcBorders/>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28" w:type="dxa"/>
                            <w:tcBorders/>
                          </w:tcPr>
                          <w:p>
                            <w:pPr>
                              <w:pStyle w:val="TableContents"/>
                              <w:bidi w:val="0"/>
                              <w:spacing w:before="0" w:after="283"/>
                              <w:jc w:val="left"/>
                              <w:rPr/>
                            </w:pPr>
                            <w:r>
                              <w:rPr/>
                              <w:t>Two or more individuals (joint account) other than an account maintained by an FFI</w:t>
                            </w:r>
                          </w:p>
                        </w:tc>
                        <w:tc>
                          <w:tcPr>
                            <w:tcW w:w="144" w:type="dxa"/>
                            <w:tcBorders/>
                            <w:vAlign w:val="bottom"/>
                          </w:tcPr>
                          <w:p>
                            <w:pPr>
                              <w:pStyle w:val="TableContents"/>
                              <w:bidi w:val="0"/>
                              <w:spacing w:before="0" w:after="283"/>
                              <w:jc w:val="left"/>
                              <w:rPr/>
                            </w:pPr>
                            <w:r>
                              <w:rPr/>
                              <w:t> </w:t>
                            </w:r>
                          </w:p>
                        </w:tc>
                        <w:tc>
                          <w:tcPr>
                            <w:tcW w:w="2373" w:type="dxa"/>
                            <w:tcBorders/>
                          </w:tcPr>
                          <w:p>
                            <w:pPr>
                              <w:pStyle w:val="TableContents"/>
                              <w:bidi w:val="0"/>
                              <w:spacing w:before="0" w:after="283"/>
                              <w:jc w:val="left"/>
                              <w:rPr/>
                            </w:pPr>
                            <w:r>
                              <w:rPr/>
                              <w:t>The actual owner of the account or, if combined funds, the first individual on the account</w:t>
                            </w:r>
                          </w:p>
                        </w:tc>
                      </w:tr>
                      <w:tr>
                        <w:trPr>
                          <w:trHeight w:val="30" w:hRule="atLeast"/>
                        </w:trPr>
                        <w:tc>
                          <w:tcPr>
                            <w:tcW w:w="124" w:type="dxa"/>
                            <w:gridSpan w:val="3"/>
                            <w:tcBorders/>
                            <w:vAlign w:val="center"/>
                          </w:tcPr>
                          <w:p>
                            <w:pPr>
                              <w:pStyle w:val="TableContents"/>
                              <w:bidi w:val="0"/>
                              <w:spacing w:before="0" w:after="283"/>
                              <w:jc w:val="left"/>
                              <w:rPr>
                                <w:sz w:val="4"/>
                                <w:szCs w:val="4"/>
                              </w:rPr>
                            </w:pPr>
                            <w:r>
                              <w:rPr>
                                <w:sz w:val="4"/>
                                <w:szCs w:val="4"/>
                              </w:rPr>
                            </w:r>
                          </w:p>
                        </w:tc>
                        <w:tc>
                          <w:tcPr>
                            <w:tcW w:w="225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r>
                        <w:trPr/>
                        <w:tc>
                          <w:tcPr>
                            <w:tcW w:w="28" w:type="dxa"/>
                            <w:tcBorders/>
                          </w:tcPr>
                          <w:p>
                            <w:pPr>
                              <w:pStyle w:val="TableContents"/>
                              <w:bidi w:val="0"/>
                              <w:spacing w:before="0" w:after="283"/>
                              <w:jc w:val="left"/>
                              <w:rPr/>
                            </w:pPr>
                            <w:r>
                              <w:rPr/>
                              <w:t> </w:t>
                            </w:r>
                          </w:p>
                        </w:tc>
                        <w:tc>
                          <w:tcPr>
                            <w:tcW w:w="67" w:type="dxa"/>
                            <w:tcBorders/>
                          </w:tcPr>
                          <w:p>
                            <w:pPr>
                              <w:pStyle w:val="TableContents"/>
                              <w:bidi w:val="0"/>
                              <w:spacing w:before="0" w:after="283"/>
                              <w:jc w:val="right"/>
                              <w:rPr/>
                            </w:pPr>
                            <w:r>
                              <w:rPr/>
                              <w:t>3.</w:t>
                            </w:r>
                          </w:p>
                        </w:tc>
                        <w:tc>
                          <w:tcPr>
                            <w:tcW w:w="29" w:type="dxa"/>
                            <w:tcBorders/>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28" w:type="dxa"/>
                            <w:tcBorders/>
                          </w:tcPr>
                          <w:p>
                            <w:pPr>
                              <w:pStyle w:val="TableContents"/>
                              <w:bidi w:val="0"/>
                              <w:spacing w:before="0" w:after="283"/>
                              <w:jc w:val="left"/>
                              <w:rPr/>
                            </w:pPr>
                            <w:r>
                              <w:rPr/>
                              <w:t>Two or more U.S. persons (joint account maintained by an FFI)</w:t>
                            </w:r>
                          </w:p>
                        </w:tc>
                        <w:tc>
                          <w:tcPr>
                            <w:tcW w:w="144" w:type="dxa"/>
                            <w:tcBorders/>
                            <w:vAlign w:val="bottom"/>
                          </w:tcPr>
                          <w:p>
                            <w:pPr>
                              <w:pStyle w:val="TableContents"/>
                              <w:bidi w:val="0"/>
                              <w:spacing w:before="0" w:after="283"/>
                              <w:jc w:val="left"/>
                              <w:rPr/>
                            </w:pPr>
                            <w:r>
                              <w:rPr/>
                              <w:t> </w:t>
                            </w:r>
                          </w:p>
                        </w:tc>
                        <w:tc>
                          <w:tcPr>
                            <w:tcW w:w="2373" w:type="dxa"/>
                            <w:tcBorders/>
                          </w:tcPr>
                          <w:p>
                            <w:pPr>
                              <w:pStyle w:val="TableContents"/>
                              <w:bidi w:val="0"/>
                              <w:spacing w:before="0" w:after="283"/>
                              <w:jc w:val="left"/>
                              <w:rPr/>
                            </w:pPr>
                            <w:r>
                              <w:rPr/>
                              <w:t>Each holder of the account</w:t>
                            </w:r>
                          </w:p>
                        </w:tc>
                      </w:tr>
                      <w:tr>
                        <w:trPr>
                          <w:trHeight w:val="30" w:hRule="atLeast"/>
                        </w:trPr>
                        <w:tc>
                          <w:tcPr>
                            <w:tcW w:w="124" w:type="dxa"/>
                            <w:gridSpan w:val="3"/>
                            <w:tcBorders/>
                            <w:vAlign w:val="center"/>
                          </w:tcPr>
                          <w:p>
                            <w:pPr>
                              <w:pStyle w:val="TableContents"/>
                              <w:bidi w:val="0"/>
                              <w:spacing w:before="0" w:after="283"/>
                              <w:jc w:val="left"/>
                              <w:rPr>
                                <w:sz w:val="4"/>
                                <w:szCs w:val="4"/>
                              </w:rPr>
                            </w:pPr>
                            <w:r>
                              <w:rPr>
                                <w:sz w:val="4"/>
                                <w:szCs w:val="4"/>
                              </w:rPr>
                            </w:r>
                          </w:p>
                        </w:tc>
                        <w:tc>
                          <w:tcPr>
                            <w:tcW w:w="225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r>
                        <w:trPr/>
                        <w:tc>
                          <w:tcPr>
                            <w:tcW w:w="28" w:type="dxa"/>
                            <w:tcBorders/>
                          </w:tcPr>
                          <w:p>
                            <w:pPr>
                              <w:pStyle w:val="TableContents"/>
                              <w:bidi w:val="0"/>
                              <w:spacing w:before="0" w:after="283"/>
                              <w:jc w:val="left"/>
                              <w:rPr/>
                            </w:pPr>
                            <w:r>
                              <w:rPr/>
                              <w:t> </w:t>
                            </w:r>
                          </w:p>
                        </w:tc>
                        <w:tc>
                          <w:tcPr>
                            <w:tcW w:w="67" w:type="dxa"/>
                            <w:tcBorders/>
                          </w:tcPr>
                          <w:p>
                            <w:pPr>
                              <w:pStyle w:val="TableContents"/>
                              <w:bidi w:val="0"/>
                              <w:spacing w:before="0" w:after="283"/>
                              <w:jc w:val="right"/>
                              <w:rPr/>
                            </w:pPr>
                            <w:r>
                              <w:rPr/>
                              <w:t>4.</w:t>
                            </w:r>
                          </w:p>
                        </w:tc>
                        <w:tc>
                          <w:tcPr>
                            <w:tcW w:w="29" w:type="dxa"/>
                            <w:tcBorders/>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28" w:type="dxa"/>
                            <w:tcBorders/>
                          </w:tcPr>
                          <w:p>
                            <w:pPr>
                              <w:pStyle w:val="TableContents"/>
                              <w:bidi w:val="0"/>
                              <w:spacing w:before="0" w:after="283"/>
                              <w:jc w:val="left"/>
                              <w:rPr/>
                            </w:pPr>
                            <w:r>
                              <w:rPr/>
                              <w:t>Custodial account of a minor (Uniform Gift to Minors Act)</w:t>
                            </w:r>
                          </w:p>
                        </w:tc>
                        <w:tc>
                          <w:tcPr>
                            <w:tcW w:w="144" w:type="dxa"/>
                            <w:tcBorders/>
                            <w:vAlign w:val="bottom"/>
                          </w:tcPr>
                          <w:p>
                            <w:pPr>
                              <w:pStyle w:val="TableContents"/>
                              <w:bidi w:val="0"/>
                              <w:spacing w:before="0" w:after="283"/>
                              <w:jc w:val="left"/>
                              <w:rPr/>
                            </w:pPr>
                            <w:r>
                              <w:rPr/>
                              <w:t> </w:t>
                            </w:r>
                          </w:p>
                        </w:tc>
                        <w:tc>
                          <w:tcPr>
                            <w:tcW w:w="2373" w:type="dxa"/>
                            <w:tcBorders/>
                          </w:tcPr>
                          <w:p>
                            <w:pPr>
                              <w:pStyle w:val="TableContents"/>
                              <w:bidi w:val="0"/>
                              <w:spacing w:before="0" w:after="283"/>
                              <w:jc w:val="left"/>
                              <w:rPr/>
                            </w:pPr>
                            <w:r>
                              <w:rPr/>
                              <w:t>The minor</w:t>
                            </w:r>
                          </w:p>
                        </w:tc>
                      </w:tr>
                      <w:tr>
                        <w:trPr>
                          <w:trHeight w:val="30" w:hRule="atLeast"/>
                        </w:trPr>
                        <w:tc>
                          <w:tcPr>
                            <w:tcW w:w="124" w:type="dxa"/>
                            <w:gridSpan w:val="3"/>
                            <w:tcBorders/>
                            <w:vAlign w:val="center"/>
                          </w:tcPr>
                          <w:p>
                            <w:pPr>
                              <w:pStyle w:val="TableContents"/>
                              <w:bidi w:val="0"/>
                              <w:spacing w:before="0" w:after="283"/>
                              <w:jc w:val="left"/>
                              <w:rPr>
                                <w:sz w:val="4"/>
                                <w:szCs w:val="4"/>
                              </w:rPr>
                            </w:pPr>
                            <w:r>
                              <w:rPr>
                                <w:sz w:val="4"/>
                                <w:szCs w:val="4"/>
                              </w:rPr>
                            </w:r>
                          </w:p>
                        </w:tc>
                        <w:tc>
                          <w:tcPr>
                            <w:tcW w:w="225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r>
                        <w:trPr/>
                        <w:tc>
                          <w:tcPr>
                            <w:tcW w:w="28" w:type="dxa"/>
                            <w:tcBorders/>
                          </w:tcPr>
                          <w:p>
                            <w:pPr>
                              <w:pStyle w:val="TableContents"/>
                              <w:bidi w:val="0"/>
                              <w:spacing w:before="0" w:after="283"/>
                              <w:jc w:val="left"/>
                              <w:rPr/>
                            </w:pPr>
                            <w:r>
                              <w:rPr/>
                              <w:t> </w:t>
                            </w:r>
                          </w:p>
                        </w:tc>
                        <w:tc>
                          <w:tcPr>
                            <w:tcW w:w="67" w:type="dxa"/>
                            <w:tcBorders/>
                          </w:tcPr>
                          <w:p>
                            <w:pPr>
                              <w:pStyle w:val="TableContents"/>
                              <w:bidi w:val="0"/>
                              <w:spacing w:before="0" w:after="283"/>
                              <w:jc w:val="right"/>
                              <w:rPr/>
                            </w:pPr>
                            <w:r>
                              <w:rPr/>
                              <w:t>5.</w:t>
                            </w:r>
                          </w:p>
                        </w:tc>
                        <w:tc>
                          <w:tcPr>
                            <w:tcW w:w="29" w:type="dxa"/>
                            <w:tcBorders/>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28" w:type="dxa"/>
                            <w:tcBorders/>
                          </w:tcPr>
                          <w:p>
                            <w:pPr>
                              <w:pStyle w:val="TableContents"/>
                              <w:bidi w:val="0"/>
                              <w:spacing w:before="0" w:after="283"/>
                              <w:jc w:val="left"/>
                              <w:rPr/>
                            </w:pPr>
                            <w:r>
                              <w:rPr/>
                              <w:t>a. The usual revocable savings trust (grantor is also trustee)</w:t>
                            </w:r>
                          </w:p>
                        </w:tc>
                        <w:tc>
                          <w:tcPr>
                            <w:tcW w:w="144" w:type="dxa"/>
                            <w:tcBorders/>
                            <w:vAlign w:val="bottom"/>
                          </w:tcPr>
                          <w:p>
                            <w:pPr>
                              <w:pStyle w:val="TableContents"/>
                              <w:bidi w:val="0"/>
                              <w:spacing w:before="0" w:after="283"/>
                              <w:jc w:val="left"/>
                              <w:rPr/>
                            </w:pPr>
                            <w:r>
                              <w:rPr/>
                              <w:t> </w:t>
                            </w:r>
                          </w:p>
                        </w:tc>
                        <w:tc>
                          <w:tcPr>
                            <w:tcW w:w="2373" w:type="dxa"/>
                            <w:tcBorders/>
                          </w:tcPr>
                          <w:p>
                            <w:pPr>
                              <w:pStyle w:val="TableContents"/>
                              <w:bidi w:val="0"/>
                              <w:spacing w:before="0" w:after="283"/>
                              <w:jc w:val="left"/>
                              <w:rPr/>
                            </w:pPr>
                            <w:r>
                              <w:rPr/>
                              <w:t>The grantor-trustee</w:t>
                            </w:r>
                          </w:p>
                        </w:tc>
                      </w:tr>
                      <w:tr>
                        <w:trPr/>
                        <w:tc>
                          <w:tcPr>
                            <w:tcW w:w="28" w:type="dxa"/>
                            <w:tcBorders/>
                          </w:tcPr>
                          <w:p>
                            <w:pPr>
                              <w:pStyle w:val="TableContents"/>
                              <w:bidi w:val="0"/>
                              <w:spacing w:before="0" w:after="283"/>
                              <w:jc w:val="left"/>
                              <w:rPr>
                                <w:sz w:val="4"/>
                                <w:szCs w:val="4"/>
                              </w:rPr>
                            </w:pPr>
                            <w:r>
                              <w:rPr>
                                <w:sz w:val="4"/>
                                <w:szCs w:val="4"/>
                              </w:rPr>
                            </w:r>
                          </w:p>
                        </w:tc>
                        <w:tc>
                          <w:tcPr>
                            <w:tcW w:w="67" w:type="dxa"/>
                            <w:tcBorders/>
                          </w:tcPr>
                          <w:p>
                            <w:pPr>
                              <w:pStyle w:val="TableContents"/>
                              <w:bidi w:val="0"/>
                              <w:spacing w:before="0" w:after="283"/>
                              <w:jc w:val="left"/>
                              <w:rPr>
                                <w:sz w:val="4"/>
                                <w:szCs w:val="4"/>
                              </w:rPr>
                            </w:pPr>
                            <w:r>
                              <w:rPr>
                                <w:sz w:val="4"/>
                                <w:szCs w:val="4"/>
                              </w:rPr>
                            </w:r>
                          </w:p>
                        </w:tc>
                        <w:tc>
                          <w:tcPr>
                            <w:tcW w:w="29" w:type="dxa"/>
                            <w:tcBorders/>
                          </w:tcPr>
                          <w:p>
                            <w:pPr>
                              <w:pStyle w:val="TableContents"/>
                              <w:bidi w:val="0"/>
                              <w:spacing w:before="0" w:after="283"/>
                              <w:jc w:val="left"/>
                              <w:rPr>
                                <w:sz w:val="4"/>
                                <w:szCs w:val="4"/>
                              </w:rPr>
                            </w:pPr>
                            <w:r>
                              <w:rPr>
                                <w:sz w:val="4"/>
                                <w:szCs w:val="4"/>
                              </w:rPr>
                            </w:r>
                          </w:p>
                        </w:tc>
                        <w:tc>
                          <w:tcPr>
                            <w:tcW w:w="29" w:type="dxa"/>
                            <w:tcBorders/>
                            <w:vAlign w:val="bottom"/>
                          </w:tcPr>
                          <w:p>
                            <w:pPr>
                              <w:pStyle w:val="TableContents"/>
                              <w:bidi w:val="0"/>
                              <w:spacing w:before="0" w:after="283"/>
                              <w:jc w:val="left"/>
                              <w:rPr/>
                            </w:pPr>
                            <w:r>
                              <w:rPr/>
                              <w:t> </w:t>
                            </w:r>
                          </w:p>
                        </w:tc>
                        <w:tc>
                          <w:tcPr>
                            <w:tcW w:w="2228" w:type="dxa"/>
                            <w:tcBorders/>
                          </w:tcPr>
                          <w:p>
                            <w:pPr>
                              <w:pStyle w:val="TableContents"/>
                              <w:bidi w:val="0"/>
                              <w:spacing w:before="0" w:after="283"/>
                              <w:jc w:val="left"/>
                              <w:rPr/>
                            </w:pPr>
                            <w:r>
                              <w:rPr/>
                              <w:t>b. So-called trust account that is not a legal or valid trust under state law</w:t>
                            </w:r>
                          </w:p>
                        </w:tc>
                        <w:tc>
                          <w:tcPr>
                            <w:tcW w:w="144" w:type="dxa"/>
                            <w:tcBorders/>
                            <w:vAlign w:val="bottom"/>
                          </w:tcPr>
                          <w:p>
                            <w:pPr>
                              <w:pStyle w:val="TableContents"/>
                              <w:bidi w:val="0"/>
                              <w:spacing w:before="0" w:after="283"/>
                              <w:jc w:val="left"/>
                              <w:rPr/>
                            </w:pPr>
                            <w:r>
                              <w:rPr/>
                              <w:t> </w:t>
                            </w:r>
                          </w:p>
                        </w:tc>
                        <w:tc>
                          <w:tcPr>
                            <w:tcW w:w="2373" w:type="dxa"/>
                            <w:tcBorders/>
                          </w:tcPr>
                          <w:p>
                            <w:pPr>
                              <w:pStyle w:val="TableContents"/>
                              <w:bidi w:val="0"/>
                              <w:spacing w:before="0" w:after="283"/>
                              <w:jc w:val="left"/>
                              <w:rPr/>
                            </w:pPr>
                            <w:r>
                              <w:rPr/>
                              <w:t>The actual owner</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3175000" cy="9972040"/>
                <wp:effectExtent l="0" t="0" r="0" b="0"/>
                <wp:wrapSquare wrapText="right"/>
                <wp:docPr id="14" name="Frame10"/>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29"/>
                              <w:gridCol w:w="69"/>
                              <w:gridCol w:w="29"/>
                              <w:gridCol w:w="30"/>
                              <w:gridCol w:w="2352"/>
                              <w:gridCol w:w="149"/>
                              <w:gridCol w:w="2342"/>
                            </w:tblGrid>
                            <w:tr>
                              <w:trPr/>
                              <w:tc>
                                <w:tcPr>
                                  <w:tcW w:w="29"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29"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2352"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127" w:type="dxa"/>
                                  <w:gridSpan w:val="3"/>
                                  <w:tcBorders>
                                    <w:top w:val="single" w:sz="2" w:space="0" w:color="000000"/>
                                  </w:tcBorders>
                                  <w:tcMar>
                                    <w:top w:w="28" w:type="dxa"/>
                                  </w:tcMar>
                                  <w:vAlign w:val="center"/>
                                </w:tcPr>
                                <w:p>
                                  <w:pPr>
                                    <w:pStyle w:val="TableContents"/>
                                    <w:bidi w:val="0"/>
                                    <w:spacing w:before="0" w:after="283"/>
                                    <w:jc w:val="left"/>
                                    <w:rPr/>
                                  </w:pPr>
                                  <w:r>
                                    <w:rPr/>
                                    <w:t> </w:t>
                                  </w:r>
                                </w:p>
                              </w:tc>
                              <w:tc>
                                <w:tcPr>
                                  <w:tcW w:w="2382" w:type="dxa"/>
                                  <w:gridSpan w:val="2"/>
                                  <w:tcBorders>
                                    <w:top w:val="single" w:sz="2" w:space="0" w:color="000000"/>
                                  </w:tcBorders>
                                  <w:tcMar>
                                    <w:top w:w="28" w:type="dxa"/>
                                  </w:tcMar>
                                  <w:vAlign w:val="center"/>
                                </w:tcPr>
                                <w:p>
                                  <w:pPr>
                                    <w:pStyle w:val="TableContents"/>
                                    <w:bidi w:val="0"/>
                                    <w:spacing w:before="0" w:after="283"/>
                                    <w:jc w:val="left"/>
                                    <w:rPr/>
                                  </w:pPr>
                                  <w:r>
                                    <w:rPr/>
                                    <w:t> </w:t>
                                  </w:r>
                                </w:p>
                              </w:tc>
                              <w:tc>
                                <w:tcPr>
                                  <w:tcW w:w="2491" w:type="dxa"/>
                                  <w:gridSpan w:val="2"/>
                                  <w:tcBorders>
                                    <w:top w:val="single" w:sz="2" w:space="0" w:color="000000"/>
                                  </w:tcBorders>
                                  <w:tcMar>
                                    <w:top w:w="28" w:type="dxa"/>
                                  </w:tcMar>
                                  <w:vAlign w:val="center"/>
                                </w:tcPr>
                                <w:p>
                                  <w:pPr>
                                    <w:pStyle w:val="TableContents"/>
                                    <w:bidi w:val="0"/>
                                    <w:spacing w:before="0" w:after="283"/>
                                    <w:jc w:val="left"/>
                                    <w:rPr/>
                                  </w:pPr>
                                  <w:r>
                                    <w:rPr/>
                                    <w:t> </w:t>
                                  </w:r>
                                </w:p>
                              </w:tc>
                            </w:tr>
                            <w:tr>
                              <w:trPr/>
                              <w:tc>
                                <w:tcPr>
                                  <w:tcW w:w="98" w:type="dxa"/>
                                  <w:gridSpan w:val="2"/>
                                  <w:tcBorders>
                                    <w:bottom w:val="single" w:sz="2" w:space="0" w:color="000000"/>
                                  </w:tcBorders>
                                  <w:tcMar>
                                    <w:bottom w:w="28" w:type="dxa"/>
                                  </w:tcMar>
                                  <w:vAlign w:val="bottom"/>
                                </w:tcPr>
                                <w:p>
                                  <w:pPr>
                                    <w:pStyle w:val="TableContents"/>
                                    <w:bidi w:val="0"/>
                                    <w:spacing w:before="0" w:after="283"/>
                                    <w:jc w:val="left"/>
                                    <w:rPr/>
                                  </w:pPr>
                                  <w:r>
                                    <w:rPr/>
                                    <w:t>  </w:t>
                                  </w:r>
                                </w:p>
                              </w:tc>
                              <w:tc>
                                <w:tcPr>
                                  <w:tcW w:w="29" w:type="dxa"/>
                                  <w:tcBorders>
                                    <w:bottom w:val="single" w:sz="2" w:space="0" w:color="000000"/>
                                  </w:tcBorders>
                                  <w:tcMar>
                                    <w:bottom w:w="28" w:type="dxa"/>
                                  </w:tcMar>
                                  <w:vAlign w:val="bottom"/>
                                </w:tcPr>
                                <w:p>
                                  <w:pPr>
                                    <w:pStyle w:val="TableContents"/>
                                    <w:bidi w:val="0"/>
                                    <w:spacing w:before="0" w:after="283"/>
                                    <w:jc w:val="left"/>
                                    <w:rPr/>
                                  </w:pPr>
                                  <w:r>
                                    <w:rPr/>
                                    <w:t> </w:t>
                                  </w:r>
                                </w:p>
                              </w:tc>
                              <w:tc>
                                <w:tcPr>
                                  <w:tcW w:w="30" w:type="dxa"/>
                                  <w:tcBorders>
                                    <w:bottom w:val="single" w:sz="2" w:space="0" w:color="000000"/>
                                  </w:tcBorders>
                                  <w:tcMar>
                                    <w:bottom w:w="28" w:type="dxa"/>
                                  </w:tcMar>
                                  <w:vAlign w:val="bottom"/>
                                </w:tcPr>
                                <w:p>
                                  <w:pPr>
                                    <w:pStyle w:val="TableContents"/>
                                    <w:bidi w:val="0"/>
                                    <w:spacing w:before="0" w:after="283"/>
                                    <w:jc w:val="left"/>
                                    <w:rPr/>
                                  </w:pPr>
                                  <w:r>
                                    <w:rPr/>
                                    <w:t> </w:t>
                                  </w:r>
                                </w:p>
                              </w:tc>
                              <w:tc>
                                <w:tcPr>
                                  <w:tcW w:w="2352" w:type="dxa"/>
                                  <w:tcBorders>
                                    <w:bottom w:val="single" w:sz="2" w:space="0" w:color="000000"/>
                                  </w:tcBorders>
                                  <w:tcMar>
                                    <w:bottom w:w="28" w:type="dxa"/>
                                  </w:tcMar>
                                  <w:vAlign w:val="bottom"/>
                                </w:tcPr>
                                <w:p>
                                  <w:pPr>
                                    <w:pStyle w:val="TableContents"/>
                                    <w:bidi w:val="0"/>
                                    <w:spacing w:before="0" w:after="283"/>
                                    <w:jc w:val="center"/>
                                    <w:rPr>
                                      <w:b/>
                                    </w:rPr>
                                  </w:pPr>
                                  <w:r>
                                    <w:rPr>
                                      <w:b/>
                                    </w:rPr>
                                    <w:t>For this type of account:</w:t>
                                  </w:r>
                                </w:p>
                              </w:tc>
                              <w:tc>
                                <w:tcPr>
                                  <w:tcW w:w="149" w:type="dxa"/>
                                  <w:tcBorders>
                                    <w:bottom w:val="single" w:sz="2" w:space="0" w:color="000000"/>
                                  </w:tcBorders>
                                  <w:tcMar>
                                    <w:bottom w:w="28" w:type="dxa"/>
                                  </w:tcMar>
                                  <w:vAlign w:val="bottom"/>
                                </w:tcPr>
                                <w:p>
                                  <w:pPr>
                                    <w:pStyle w:val="TableContents"/>
                                    <w:bidi w:val="0"/>
                                    <w:spacing w:before="0" w:after="283"/>
                                    <w:jc w:val="left"/>
                                    <w:rPr/>
                                  </w:pPr>
                                  <w:r>
                                    <w:rPr/>
                                    <w:t> </w:t>
                                  </w:r>
                                </w:p>
                              </w:tc>
                              <w:tc>
                                <w:tcPr>
                                  <w:tcW w:w="2342" w:type="dxa"/>
                                  <w:tcBorders>
                                    <w:bottom w:val="single" w:sz="2" w:space="0" w:color="000000"/>
                                  </w:tcBorders>
                                  <w:tcMar>
                                    <w:bottom w:w="28" w:type="dxa"/>
                                  </w:tcMar>
                                  <w:vAlign w:val="bottom"/>
                                </w:tcPr>
                                <w:p>
                                  <w:pPr>
                                    <w:pStyle w:val="TableContents"/>
                                    <w:bidi w:val="0"/>
                                    <w:spacing w:before="0" w:after="283"/>
                                    <w:jc w:val="center"/>
                                    <w:rPr>
                                      <w:b/>
                                    </w:rPr>
                                  </w:pPr>
                                  <w:r>
                                    <w:rPr>
                                      <w:b/>
                                    </w:rPr>
                                    <w:t>Give name and SSN of:</w:t>
                                  </w:r>
                                </w:p>
                              </w:tc>
                            </w:tr>
                            <w:tr>
                              <w:trPr>
                                <w:trHeight w:val="30" w:hRule="atLeast"/>
                              </w:trPr>
                              <w:tc>
                                <w:tcPr>
                                  <w:tcW w:w="127" w:type="dxa"/>
                                  <w:gridSpan w:val="3"/>
                                  <w:tcBorders/>
                                  <w:vAlign w:val="center"/>
                                </w:tcPr>
                                <w:p>
                                  <w:pPr>
                                    <w:pStyle w:val="TableContents"/>
                                    <w:bidi w:val="0"/>
                                    <w:spacing w:before="0" w:after="283"/>
                                    <w:jc w:val="left"/>
                                    <w:rPr>
                                      <w:sz w:val="4"/>
                                      <w:szCs w:val="4"/>
                                    </w:rPr>
                                  </w:pPr>
                                  <w:r>
                                    <w:rPr>
                                      <w:sz w:val="4"/>
                                      <w:szCs w:val="4"/>
                                    </w:rPr>
                                  </w:r>
                                </w:p>
                              </w:tc>
                              <w:tc>
                                <w:tcPr>
                                  <w:tcW w:w="2382" w:type="dxa"/>
                                  <w:gridSpan w:val="2"/>
                                  <w:tcBorders/>
                                  <w:vAlign w:val="center"/>
                                </w:tcPr>
                                <w:p>
                                  <w:pPr>
                                    <w:pStyle w:val="TableContents"/>
                                    <w:bidi w:val="0"/>
                                    <w:spacing w:before="0" w:after="283"/>
                                    <w:jc w:val="left"/>
                                    <w:rPr>
                                      <w:sz w:val="4"/>
                                      <w:szCs w:val="4"/>
                                    </w:rPr>
                                  </w:pPr>
                                  <w:r>
                                    <w:rPr>
                                      <w:sz w:val="4"/>
                                      <w:szCs w:val="4"/>
                                    </w:rPr>
                                  </w:r>
                                </w:p>
                              </w:tc>
                              <w:tc>
                                <w:tcPr>
                                  <w:tcW w:w="2491" w:type="dxa"/>
                                  <w:gridSpan w:val="2"/>
                                  <w:tcBorders/>
                                  <w:vAlign w:val="center"/>
                                </w:tcPr>
                                <w:p>
                                  <w:pPr>
                                    <w:pStyle w:val="TableContents"/>
                                    <w:bidi w:val="0"/>
                                    <w:spacing w:before="0" w:after="283"/>
                                    <w:jc w:val="left"/>
                                    <w:rPr>
                                      <w:sz w:val="4"/>
                                      <w:szCs w:val="4"/>
                                    </w:rPr>
                                  </w:pPr>
                                  <w:r>
                                    <w:rPr>
                                      <w:sz w:val="4"/>
                                      <w:szCs w:val="4"/>
                                    </w:rPr>
                                  </w:r>
                                </w:p>
                              </w:tc>
                            </w:tr>
                            <w:tr>
                              <w:trPr/>
                              <w:tc>
                                <w:tcPr>
                                  <w:tcW w:w="29" w:type="dxa"/>
                                  <w:tcBorders/>
                                </w:tcPr>
                                <w:p>
                                  <w:pPr>
                                    <w:pStyle w:val="TableContents"/>
                                    <w:bidi w:val="0"/>
                                    <w:spacing w:before="0" w:after="283"/>
                                    <w:jc w:val="left"/>
                                    <w:rPr/>
                                  </w:pPr>
                                  <w:r>
                                    <w:rPr/>
                                    <w:t> </w:t>
                                  </w:r>
                                </w:p>
                              </w:tc>
                              <w:tc>
                                <w:tcPr>
                                  <w:tcW w:w="69" w:type="dxa"/>
                                  <w:tcBorders/>
                                </w:tcPr>
                                <w:p>
                                  <w:pPr>
                                    <w:pStyle w:val="TableContents"/>
                                    <w:bidi w:val="0"/>
                                    <w:spacing w:before="0" w:after="283"/>
                                    <w:jc w:val="right"/>
                                    <w:rPr/>
                                  </w:pPr>
                                  <w:r>
                                    <w:rPr/>
                                    <w:t>6.</w:t>
                                  </w:r>
                                </w:p>
                              </w:tc>
                              <w:tc>
                                <w:tcPr>
                                  <w:tcW w:w="29" w:type="dxa"/>
                                  <w:tcBorders/>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pPr>
                                  <w:r>
                                    <w:rPr/>
                                    <w:t> </w:t>
                                  </w:r>
                                </w:p>
                              </w:tc>
                              <w:tc>
                                <w:tcPr>
                                  <w:tcW w:w="2352" w:type="dxa"/>
                                  <w:tcBorders/>
                                </w:tcPr>
                                <w:p>
                                  <w:pPr>
                                    <w:pStyle w:val="TableContents"/>
                                    <w:bidi w:val="0"/>
                                    <w:spacing w:before="0" w:after="283"/>
                                    <w:jc w:val="left"/>
                                    <w:rPr/>
                                  </w:pPr>
                                  <w:r>
                                    <w:rPr/>
                                    <w:t>Sole proprietorship or disregarded entity owned by an individual</w:t>
                                  </w:r>
                                </w:p>
                              </w:tc>
                              <w:tc>
                                <w:tcPr>
                                  <w:tcW w:w="149" w:type="dxa"/>
                                  <w:tcBorders/>
                                  <w:vAlign w:val="bottom"/>
                                </w:tcPr>
                                <w:p>
                                  <w:pPr>
                                    <w:pStyle w:val="TableContents"/>
                                    <w:bidi w:val="0"/>
                                    <w:spacing w:before="0" w:after="283"/>
                                    <w:jc w:val="left"/>
                                    <w:rPr/>
                                  </w:pPr>
                                  <w:r>
                                    <w:rPr/>
                                    <w:t> </w:t>
                                  </w:r>
                                </w:p>
                              </w:tc>
                              <w:tc>
                                <w:tcPr>
                                  <w:tcW w:w="2342" w:type="dxa"/>
                                  <w:tcBorders/>
                                </w:tcPr>
                                <w:p>
                                  <w:pPr>
                                    <w:pStyle w:val="TableContents"/>
                                    <w:bidi w:val="0"/>
                                    <w:spacing w:before="0" w:after="283"/>
                                    <w:jc w:val="left"/>
                                    <w:rPr/>
                                  </w:pPr>
                                  <w:r>
                                    <w:rPr/>
                                    <w:t>The owner</w:t>
                                  </w:r>
                                </w:p>
                              </w:tc>
                            </w:tr>
                            <w:tr>
                              <w:trPr>
                                <w:trHeight w:val="30" w:hRule="atLeast"/>
                              </w:trPr>
                              <w:tc>
                                <w:tcPr>
                                  <w:tcW w:w="127" w:type="dxa"/>
                                  <w:gridSpan w:val="3"/>
                                  <w:tcBorders/>
                                  <w:vAlign w:val="center"/>
                                </w:tcPr>
                                <w:p>
                                  <w:pPr>
                                    <w:pStyle w:val="TableContents"/>
                                    <w:bidi w:val="0"/>
                                    <w:spacing w:before="0" w:after="283"/>
                                    <w:jc w:val="left"/>
                                    <w:rPr>
                                      <w:sz w:val="4"/>
                                      <w:szCs w:val="4"/>
                                    </w:rPr>
                                  </w:pPr>
                                  <w:r>
                                    <w:rPr>
                                      <w:sz w:val="4"/>
                                      <w:szCs w:val="4"/>
                                    </w:rPr>
                                  </w:r>
                                </w:p>
                              </w:tc>
                              <w:tc>
                                <w:tcPr>
                                  <w:tcW w:w="2382" w:type="dxa"/>
                                  <w:gridSpan w:val="2"/>
                                  <w:tcBorders/>
                                  <w:vAlign w:val="center"/>
                                </w:tcPr>
                                <w:p>
                                  <w:pPr>
                                    <w:pStyle w:val="TableContents"/>
                                    <w:bidi w:val="0"/>
                                    <w:spacing w:before="0" w:after="283"/>
                                    <w:jc w:val="left"/>
                                    <w:rPr>
                                      <w:sz w:val="4"/>
                                      <w:szCs w:val="4"/>
                                    </w:rPr>
                                  </w:pPr>
                                  <w:r>
                                    <w:rPr>
                                      <w:sz w:val="4"/>
                                      <w:szCs w:val="4"/>
                                    </w:rPr>
                                  </w:r>
                                </w:p>
                              </w:tc>
                              <w:tc>
                                <w:tcPr>
                                  <w:tcW w:w="2491" w:type="dxa"/>
                                  <w:gridSpan w:val="2"/>
                                  <w:tcBorders/>
                                  <w:vAlign w:val="center"/>
                                </w:tcPr>
                                <w:p>
                                  <w:pPr>
                                    <w:pStyle w:val="TableContents"/>
                                    <w:bidi w:val="0"/>
                                    <w:spacing w:before="0" w:after="283"/>
                                    <w:jc w:val="left"/>
                                    <w:rPr>
                                      <w:sz w:val="4"/>
                                      <w:szCs w:val="4"/>
                                    </w:rPr>
                                  </w:pPr>
                                  <w:r>
                                    <w:rPr>
                                      <w:sz w:val="4"/>
                                      <w:szCs w:val="4"/>
                                    </w:rPr>
                                  </w:r>
                                </w:p>
                              </w:tc>
                            </w:tr>
                            <w:tr>
                              <w:trPr/>
                              <w:tc>
                                <w:tcPr>
                                  <w:tcW w:w="29" w:type="dxa"/>
                                  <w:tcBorders/>
                                </w:tcPr>
                                <w:p>
                                  <w:pPr>
                                    <w:pStyle w:val="TableContents"/>
                                    <w:bidi w:val="0"/>
                                    <w:spacing w:before="0" w:after="283"/>
                                    <w:jc w:val="left"/>
                                    <w:rPr/>
                                  </w:pPr>
                                  <w:r>
                                    <w:rPr/>
                                    <w:t> </w:t>
                                  </w:r>
                                </w:p>
                              </w:tc>
                              <w:tc>
                                <w:tcPr>
                                  <w:tcW w:w="69" w:type="dxa"/>
                                  <w:tcBorders/>
                                </w:tcPr>
                                <w:p>
                                  <w:pPr>
                                    <w:pStyle w:val="TableContents"/>
                                    <w:bidi w:val="0"/>
                                    <w:spacing w:before="0" w:after="283"/>
                                    <w:jc w:val="right"/>
                                    <w:rPr/>
                                  </w:pPr>
                                  <w:r>
                                    <w:rPr/>
                                    <w:t>7.</w:t>
                                  </w:r>
                                </w:p>
                              </w:tc>
                              <w:tc>
                                <w:tcPr>
                                  <w:tcW w:w="29" w:type="dxa"/>
                                  <w:tcBorders/>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pPr>
                                  <w:r>
                                    <w:rPr/>
                                    <w:t> </w:t>
                                  </w:r>
                                </w:p>
                              </w:tc>
                              <w:tc>
                                <w:tcPr>
                                  <w:tcW w:w="2352" w:type="dxa"/>
                                  <w:tcBorders/>
                                </w:tcPr>
                                <w:p>
                                  <w:pPr>
                                    <w:pStyle w:val="TableContents"/>
                                    <w:bidi w:val="0"/>
                                    <w:spacing w:before="0" w:after="283"/>
                                    <w:jc w:val="left"/>
                                    <w:rPr/>
                                  </w:pPr>
                                  <w:r>
                                    <w:rPr/>
                                    <w:t>Grantortrust filing under Optional Filing Method 1 (see Regulations section 1.671-4(b)(2)(i)(A))**</w:t>
                                  </w:r>
                                </w:p>
                              </w:tc>
                              <w:tc>
                                <w:tcPr>
                                  <w:tcW w:w="149" w:type="dxa"/>
                                  <w:tcBorders/>
                                  <w:vAlign w:val="bottom"/>
                                </w:tcPr>
                                <w:p>
                                  <w:pPr>
                                    <w:pStyle w:val="TableContents"/>
                                    <w:bidi w:val="0"/>
                                    <w:spacing w:before="0" w:after="283"/>
                                    <w:jc w:val="left"/>
                                    <w:rPr/>
                                  </w:pPr>
                                  <w:r>
                                    <w:rPr/>
                                    <w:t> </w:t>
                                  </w:r>
                                </w:p>
                              </w:tc>
                              <w:tc>
                                <w:tcPr>
                                  <w:tcW w:w="2342" w:type="dxa"/>
                                  <w:tcBorders/>
                                </w:tcPr>
                                <w:p>
                                  <w:pPr>
                                    <w:pStyle w:val="TableContents"/>
                                    <w:bidi w:val="0"/>
                                    <w:spacing w:before="0" w:after="283"/>
                                    <w:jc w:val="left"/>
                                    <w:rPr/>
                                  </w:pPr>
                                  <w:r>
                                    <w:rPr/>
                                    <w:t>The grantor*</w:t>
                                  </w:r>
                                </w:p>
                              </w:tc>
                            </w:tr>
                            <w:tr>
                              <w:trPr/>
                              <w:tc>
                                <w:tcPr>
                                  <w:tcW w:w="29" w:type="dxa"/>
                                  <w:tcBorders/>
                                </w:tcPr>
                                <w:p>
                                  <w:pPr>
                                    <w:pStyle w:val="TableContents"/>
                                    <w:bidi w:val="0"/>
                                    <w:spacing w:before="0" w:after="283"/>
                                    <w:jc w:val="left"/>
                                    <w:rPr/>
                                  </w:pPr>
                                  <w:r>
                                    <w:rPr/>
                                    <w:t> </w:t>
                                  </w:r>
                                </w:p>
                              </w:tc>
                              <w:tc>
                                <w:tcPr>
                                  <w:tcW w:w="69" w:type="dxa"/>
                                  <w:tcBorders/>
                                </w:tcPr>
                                <w:p>
                                  <w:pPr>
                                    <w:pStyle w:val="TableContents"/>
                                    <w:bidi w:val="0"/>
                                    <w:spacing w:before="0" w:after="283"/>
                                    <w:jc w:val="right"/>
                                    <w:rPr/>
                                  </w:pPr>
                                  <w:r>
                                    <w:rPr/>
                                    <w:t>8.</w:t>
                                  </w:r>
                                </w:p>
                              </w:tc>
                              <w:tc>
                                <w:tcPr>
                                  <w:tcW w:w="29" w:type="dxa"/>
                                  <w:tcBorders/>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pPr>
                                  <w:r>
                                    <w:rPr/>
                                    <w:t> </w:t>
                                  </w:r>
                                </w:p>
                              </w:tc>
                              <w:tc>
                                <w:tcPr>
                                  <w:tcW w:w="2352" w:type="dxa"/>
                                  <w:tcBorders/>
                                </w:tcPr>
                                <w:p>
                                  <w:pPr>
                                    <w:pStyle w:val="TableContents"/>
                                    <w:bidi w:val="0"/>
                                    <w:spacing w:before="0" w:after="283"/>
                                    <w:jc w:val="left"/>
                                    <w:rPr/>
                                  </w:pPr>
                                  <w:r>
                                    <w:rPr/>
                                    <w:t>Disregarded entity not owned by an individual</w:t>
                                  </w:r>
                                </w:p>
                              </w:tc>
                              <w:tc>
                                <w:tcPr>
                                  <w:tcW w:w="149" w:type="dxa"/>
                                  <w:tcBorders/>
                                  <w:vAlign w:val="bottom"/>
                                </w:tcPr>
                                <w:p>
                                  <w:pPr>
                                    <w:pStyle w:val="TableContents"/>
                                    <w:bidi w:val="0"/>
                                    <w:spacing w:before="0" w:after="283"/>
                                    <w:jc w:val="left"/>
                                    <w:rPr/>
                                  </w:pPr>
                                  <w:r>
                                    <w:rPr/>
                                    <w:t> </w:t>
                                  </w:r>
                                </w:p>
                              </w:tc>
                              <w:tc>
                                <w:tcPr>
                                  <w:tcW w:w="2342" w:type="dxa"/>
                                  <w:tcBorders/>
                                </w:tcPr>
                                <w:p>
                                  <w:pPr>
                                    <w:pStyle w:val="TableContents"/>
                                    <w:bidi w:val="0"/>
                                    <w:spacing w:before="0" w:after="283"/>
                                    <w:jc w:val="left"/>
                                    <w:rPr/>
                                  </w:pPr>
                                  <w:r>
                                    <w:rPr/>
                                    <w:t>The owner</w:t>
                                  </w:r>
                                </w:p>
                              </w:tc>
                            </w:tr>
                          </w:tbl>
                          <w:tbl>
                            <w:tblPr>
                              <w:tblW w:w="5000" w:type="pct"/>
                              <w:jc w:val="center"/>
                              <w:tblInd w:w="0" w:type="dxa"/>
                              <w:tblLayout w:type="fixed"/>
                              <w:tblCellMar>
                                <w:top w:w="0" w:type="dxa"/>
                                <w:left w:w="0" w:type="dxa"/>
                                <w:bottom w:w="0" w:type="dxa"/>
                                <w:right w:w="0" w:type="dxa"/>
                              </w:tblCellMar>
                            </w:tblPr>
                            <w:tblGrid>
                              <w:gridCol w:w="29"/>
                              <w:gridCol w:w="150"/>
                              <w:gridCol w:w="30"/>
                              <w:gridCol w:w="29"/>
                              <w:gridCol w:w="2256"/>
                              <w:gridCol w:w="150"/>
                              <w:gridCol w:w="2356"/>
                            </w:tblGrid>
                            <w:tr>
                              <w:trPr/>
                              <w:tc>
                                <w:tcPr>
                                  <w:tcW w:w="2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29" w:type="dxa"/>
                                  <w:tcBorders/>
                                  <w:vAlign w:val="bottom"/>
                                </w:tcPr>
                                <w:p>
                                  <w:pPr>
                                    <w:pStyle w:val="TableContents"/>
                                    <w:bidi w:val="0"/>
                                    <w:spacing w:before="0" w:after="283"/>
                                    <w:jc w:val="left"/>
                                    <w:rPr>
                                      <w:sz w:val="4"/>
                                      <w:szCs w:val="4"/>
                                    </w:rPr>
                                  </w:pPr>
                                  <w:r>
                                    <w:rPr>
                                      <w:sz w:val="4"/>
                                      <w:szCs w:val="4"/>
                                    </w:rPr>
                                  </w:r>
                                </w:p>
                              </w:tc>
                              <w:tc>
                                <w:tcPr>
                                  <w:tcW w:w="2256"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209" w:type="dxa"/>
                                  <w:gridSpan w:val="3"/>
                                  <w:tcBorders>
                                    <w:top w:val="single" w:sz="2" w:space="0" w:color="000000"/>
                                  </w:tcBorders>
                                  <w:tcMar>
                                    <w:top w:w="28" w:type="dxa"/>
                                  </w:tcMar>
                                  <w:vAlign w:val="center"/>
                                </w:tcPr>
                                <w:p>
                                  <w:pPr>
                                    <w:pStyle w:val="TableContents"/>
                                    <w:bidi w:val="0"/>
                                    <w:spacing w:before="0" w:after="283"/>
                                    <w:jc w:val="left"/>
                                    <w:rPr/>
                                  </w:pPr>
                                  <w:r>
                                    <w:rPr/>
                                    <w:t> </w:t>
                                  </w:r>
                                </w:p>
                              </w:tc>
                              <w:tc>
                                <w:tcPr>
                                  <w:tcW w:w="2285" w:type="dxa"/>
                                  <w:gridSpan w:val="2"/>
                                  <w:tcBorders>
                                    <w:top w:val="single" w:sz="2" w:space="0" w:color="000000"/>
                                  </w:tcBorders>
                                  <w:tcMar>
                                    <w:top w:w="28" w:type="dxa"/>
                                  </w:tcMar>
                                  <w:vAlign w:val="center"/>
                                </w:tcPr>
                                <w:p>
                                  <w:pPr>
                                    <w:pStyle w:val="TableContents"/>
                                    <w:bidi w:val="0"/>
                                    <w:spacing w:before="0" w:after="283"/>
                                    <w:jc w:val="left"/>
                                    <w:rPr/>
                                  </w:pPr>
                                  <w:r>
                                    <w:rPr/>
                                    <w:t> </w:t>
                                  </w:r>
                                </w:p>
                              </w:tc>
                              <w:tc>
                                <w:tcPr>
                                  <w:tcW w:w="2506" w:type="dxa"/>
                                  <w:gridSpan w:val="2"/>
                                  <w:tcBorders>
                                    <w:top w:val="single" w:sz="2" w:space="0" w:color="000000"/>
                                  </w:tcBorders>
                                  <w:tcMar>
                                    <w:top w:w="28" w:type="dxa"/>
                                  </w:tcMar>
                                  <w:vAlign w:val="center"/>
                                </w:tcPr>
                                <w:p>
                                  <w:pPr>
                                    <w:pStyle w:val="TableContents"/>
                                    <w:bidi w:val="0"/>
                                    <w:spacing w:before="0" w:after="283"/>
                                    <w:jc w:val="left"/>
                                    <w:rPr/>
                                  </w:pPr>
                                  <w:r>
                                    <w:rPr/>
                                    <w:t> </w:t>
                                  </w:r>
                                </w:p>
                              </w:tc>
                            </w:tr>
                            <w:tr>
                              <w:trPr/>
                              <w:tc>
                                <w:tcPr>
                                  <w:tcW w:w="179" w:type="dxa"/>
                                  <w:gridSpan w:val="2"/>
                                  <w:tcBorders>
                                    <w:bottom w:val="single" w:sz="2" w:space="0" w:color="000000"/>
                                  </w:tcBorders>
                                  <w:tcMar>
                                    <w:bottom w:w="28" w:type="dxa"/>
                                  </w:tcMar>
                                  <w:vAlign w:val="bottom"/>
                                </w:tcPr>
                                <w:p>
                                  <w:pPr>
                                    <w:pStyle w:val="TableContents"/>
                                    <w:bidi w:val="0"/>
                                    <w:spacing w:before="0" w:after="283"/>
                                    <w:jc w:val="left"/>
                                    <w:rPr/>
                                  </w:pPr>
                                  <w:r>
                                    <w:rPr/>
                                    <w:t>  </w:t>
                                  </w:r>
                                </w:p>
                              </w:tc>
                              <w:tc>
                                <w:tcPr>
                                  <w:tcW w:w="30" w:type="dxa"/>
                                  <w:tcBorders>
                                    <w:bottom w:val="single" w:sz="2" w:space="0" w:color="000000"/>
                                  </w:tcBorders>
                                  <w:tcMar>
                                    <w:bottom w:w="28" w:type="dxa"/>
                                  </w:tcMar>
                                  <w:vAlign w:val="bottom"/>
                                </w:tcPr>
                                <w:p>
                                  <w:pPr>
                                    <w:pStyle w:val="TableContents"/>
                                    <w:bidi w:val="0"/>
                                    <w:spacing w:before="0" w:after="283"/>
                                    <w:jc w:val="left"/>
                                    <w:rPr/>
                                  </w:pPr>
                                  <w:r>
                                    <w:rPr/>
                                    <w:t> </w:t>
                                  </w:r>
                                </w:p>
                              </w:tc>
                              <w:tc>
                                <w:tcPr>
                                  <w:tcW w:w="29" w:type="dxa"/>
                                  <w:tcBorders>
                                    <w:bottom w:val="single" w:sz="2" w:space="0" w:color="000000"/>
                                  </w:tcBorders>
                                  <w:tcMar>
                                    <w:bottom w:w="28" w:type="dxa"/>
                                  </w:tcMar>
                                  <w:vAlign w:val="bottom"/>
                                </w:tcPr>
                                <w:p>
                                  <w:pPr>
                                    <w:pStyle w:val="TableContents"/>
                                    <w:bidi w:val="0"/>
                                    <w:spacing w:before="0" w:after="283"/>
                                    <w:jc w:val="left"/>
                                    <w:rPr/>
                                  </w:pPr>
                                  <w:r>
                                    <w:rPr/>
                                    <w:t> </w:t>
                                  </w:r>
                                </w:p>
                              </w:tc>
                              <w:tc>
                                <w:tcPr>
                                  <w:tcW w:w="2256" w:type="dxa"/>
                                  <w:tcBorders>
                                    <w:bottom w:val="single" w:sz="2" w:space="0" w:color="000000"/>
                                  </w:tcBorders>
                                  <w:tcMar>
                                    <w:bottom w:w="28" w:type="dxa"/>
                                  </w:tcMar>
                                  <w:vAlign w:val="bottom"/>
                                </w:tcPr>
                                <w:p>
                                  <w:pPr>
                                    <w:pStyle w:val="TableContents"/>
                                    <w:bidi w:val="0"/>
                                    <w:spacing w:before="0" w:after="283"/>
                                    <w:jc w:val="center"/>
                                    <w:rPr>
                                      <w:b/>
                                    </w:rPr>
                                  </w:pPr>
                                  <w:r>
                                    <w:rPr>
                                      <w:b/>
                                    </w:rPr>
                                    <w:t>For this type of account:</w:t>
                                  </w:r>
                                </w:p>
                              </w:tc>
                              <w:tc>
                                <w:tcPr>
                                  <w:tcW w:w="150" w:type="dxa"/>
                                  <w:tcBorders>
                                    <w:bottom w:val="single" w:sz="2" w:space="0" w:color="000000"/>
                                  </w:tcBorders>
                                  <w:tcMar>
                                    <w:bottom w:w="28" w:type="dxa"/>
                                  </w:tcMar>
                                  <w:vAlign w:val="bottom"/>
                                </w:tcPr>
                                <w:p>
                                  <w:pPr>
                                    <w:pStyle w:val="TableContents"/>
                                    <w:bidi w:val="0"/>
                                    <w:spacing w:before="0" w:after="283"/>
                                    <w:jc w:val="left"/>
                                    <w:rPr/>
                                  </w:pPr>
                                  <w:r>
                                    <w:rPr/>
                                    <w:t> </w:t>
                                  </w:r>
                                </w:p>
                              </w:tc>
                              <w:tc>
                                <w:tcPr>
                                  <w:tcW w:w="2356" w:type="dxa"/>
                                  <w:tcBorders>
                                    <w:bottom w:val="single" w:sz="2" w:space="0" w:color="000000"/>
                                  </w:tcBorders>
                                  <w:tcMar>
                                    <w:bottom w:w="28" w:type="dxa"/>
                                  </w:tcMar>
                                  <w:vAlign w:val="bottom"/>
                                </w:tcPr>
                                <w:p>
                                  <w:pPr>
                                    <w:pStyle w:val="TableContents"/>
                                    <w:bidi w:val="0"/>
                                    <w:spacing w:before="0" w:after="283"/>
                                    <w:jc w:val="center"/>
                                    <w:rPr>
                                      <w:b/>
                                    </w:rPr>
                                  </w:pPr>
                                  <w:r>
                                    <w:rPr>
                                      <w:b/>
                                    </w:rPr>
                                    <w:t>Give name and EIN of:</w:t>
                                  </w:r>
                                </w:p>
                              </w:tc>
                            </w:tr>
                            <w:tr>
                              <w:trPr>
                                <w:trHeight w:val="30" w:hRule="atLeast"/>
                              </w:trPr>
                              <w:tc>
                                <w:tcPr>
                                  <w:tcW w:w="209" w:type="dxa"/>
                                  <w:gridSpan w:val="3"/>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c>
                                <w:tcPr>
                                  <w:tcW w:w="2506" w:type="dxa"/>
                                  <w:gridSpan w:val="2"/>
                                  <w:tcBorders/>
                                  <w:vAlign w:val="center"/>
                                </w:tcPr>
                                <w:p>
                                  <w:pPr>
                                    <w:pStyle w:val="TableContents"/>
                                    <w:bidi w:val="0"/>
                                    <w:spacing w:before="0" w:after="283"/>
                                    <w:jc w:val="left"/>
                                    <w:rPr>
                                      <w:sz w:val="4"/>
                                      <w:szCs w:val="4"/>
                                    </w:rPr>
                                  </w:pPr>
                                  <w:r>
                                    <w:rPr>
                                      <w:sz w:val="4"/>
                                      <w:szCs w:val="4"/>
                                    </w:rPr>
                                  </w:r>
                                </w:p>
                              </w:tc>
                            </w:tr>
                            <w:tr>
                              <w:trPr/>
                              <w:tc>
                                <w:tcPr>
                                  <w:tcW w:w="29" w:type="dxa"/>
                                  <w:tcBorders/>
                                </w:tcPr>
                                <w:p>
                                  <w:pPr>
                                    <w:pStyle w:val="TableContents"/>
                                    <w:bidi w:val="0"/>
                                    <w:spacing w:before="0" w:after="283"/>
                                    <w:jc w:val="left"/>
                                    <w:rPr/>
                                  </w:pPr>
                                  <w:r>
                                    <w:rPr/>
                                    <w:t> </w:t>
                                  </w:r>
                                </w:p>
                              </w:tc>
                              <w:tc>
                                <w:tcPr>
                                  <w:tcW w:w="150" w:type="dxa"/>
                                  <w:tcBorders/>
                                </w:tcPr>
                                <w:p>
                                  <w:pPr>
                                    <w:pStyle w:val="TableContents"/>
                                    <w:bidi w:val="0"/>
                                    <w:spacing w:before="0" w:after="283"/>
                                    <w:jc w:val="right"/>
                                    <w:rPr/>
                                  </w:pPr>
                                  <w:r>
                                    <w:rPr/>
                                    <w:t>9.</w:t>
                                  </w:r>
                                </w:p>
                              </w:tc>
                              <w:tc>
                                <w:tcPr>
                                  <w:tcW w:w="30" w:type="dxa"/>
                                  <w:tcBorders/>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56" w:type="dxa"/>
                                  <w:tcBorders/>
                                </w:tcPr>
                                <w:p>
                                  <w:pPr>
                                    <w:pStyle w:val="TableContents"/>
                                    <w:bidi w:val="0"/>
                                    <w:spacing w:before="0" w:after="283"/>
                                    <w:jc w:val="left"/>
                                    <w:rPr/>
                                  </w:pPr>
                                  <w:r>
                                    <w:rPr/>
                                    <w:t>A valid trust, estate, or pension trust</w:t>
                                  </w:r>
                                </w:p>
                              </w:tc>
                              <w:tc>
                                <w:tcPr>
                                  <w:tcW w:w="150" w:type="dxa"/>
                                  <w:tcBorders/>
                                  <w:vAlign w:val="bottom"/>
                                </w:tcPr>
                                <w:p>
                                  <w:pPr>
                                    <w:pStyle w:val="TableContents"/>
                                    <w:bidi w:val="0"/>
                                    <w:spacing w:before="0" w:after="283"/>
                                    <w:jc w:val="left"/>
                                    <w:rPr/>
                                  </w:pPr>
                                  <w:r>
                                    <w:rPr/>
                                    <w:t> </w:t>
                                  </w:r>
                                </w:p>
                              </w:tc>
                              <w:tc>
                                <w:tcPr>
                                  <w:tcW w:w="2356" w:type="dxa"/>
                                  <w:tcBorders/>
                                </w:tcPr>
                                <w:p>
                                  <w:pPr>
                                    <w:pStyle w:val="TableContents"/>
                                    <w:bidi w:val="0"/>
                                    <w:spacing w:before="0" w:after="283"/>
                                    <w:jc w:val="left"/>
                                    <w:rPr/>
                                  </w:pPr>
                                  <w:r>
                                    <w:rPr/>
                                    <w:t>Legal entity</w:t>
                                  </w:r>
                                </w:p>
                              </w:tc>
                            </w:tr>
                            <w:tr>
                              <w:trPr>
                                <w:trHeight w:val="30" w:hRule="atLeast"/>
                              </w:trPr>
                              <w:tc>
                                <w:tcPr>
                                  <w:tcW w:w="209" w:type="dxa"/>
                                  <w:gridSpan w:val="3"/>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c>
                                <w:tcPr>
                                  <w:tcW w:w="2506" w:type="dxa"/>
                                  <w:gridSpan w:val="2"/>
                                  <w:tcBorders/>
                                  <w:vAlign w:val="center"/>
                                </w:tcPr>
                                <w:p>
                                  <w:pPr>
                                    <w:pStyle w:val="TableContents"/>
                                    <w:bidi w:val="0"/>
                                    <w:spacing w:before="0" w:after="283"/>
                                    <w:jc w:val="left"/>
                                    <w:rPr>
                                      <w:sz w:val="4"/>
                                      <w:szCs w:val="4"/>
                                    </w:rPr>
                                  </w:pPr>
                                  <w:r>
                                    <w:rPr>
                                      <w:sz w:val="4"/>
                                      <w:szCs w:val="4"/>
                                    </w:rPr>
                                  </w:r>
                                </w:p>
                              </w:tc>
                            </w:tr>
                            <w:tr>
                              <w:trPr/>
                              <w:tc>
                                <w:tcPr>
                                  <w:tcW w:w="29" w:type="dxa"/>
                                  <w:tcBorders/>
                                </w:tcPr>
                                <w:p>
                                  <w:pPr>
                                    <w:pStyle w:val="TableContents"/>
                                    <w:bidi w:val="0"/>
                                    <w:spacing w:before="0" w:after="283"/>
                                    <w:jc w:val="left"/>
                                    <w:rPr/>
                                  </w:pPr>
                                  <w:r>
                                    <w:rPr/>
                                    <w:t> </w:t>
                                  </w:r>
                                </w:p>
                              </w:tc>
                              <w:tc>
                                <w:tcPr>
                                  <w:tcW w:w="150" w:type="dxa"/>
                                  <w:tcBorders/>
                                </w:tcPr>
                                <w:p>
                                  <w:pPr>
                                    <w:pStyle w:val="TableContents"/>
                                    <w:bidi w:val="0"/>
                                    <w:spacing w:before="0" w:after="283"/>
                                    <w:jc w:val="right"/>
                                    <w:rPr/>
                                  </w:pPr>
                                  <w:r>
                                    <w:rPr/>
                                    <w:t>10.</w:t>
                                  </w:r>
                                </w:p>
                              </w:tc>
                              <w:tc>
                                <w:tcPr>
                                  <w:tcW w:w="30" w:type="dxa"/>
                                  <w:tcBorders/>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56" w:type="dxa"/>
                                  <w:tcBorders/>
                                </w:tcPr>
                                <w:p>
                                  <w:pPr>
                                    <w:pStyle w:val="TableContents"/>
                                    <w:bidi w:val="0"/>
                                    <w:spacing w:before="0" w:after="283"/>
                                    <w:jc w:val="left"/>
                                    <w:rPr/>
                                  </w:pPr>
                                  <w:r>
                                    <w:rPr/>
                                    <w:t>Corporation or LLC electing corporate status on Form 8832 or Form 2553</w:t>
                                  </w:r>
                                </w:p>
                              </w:tc>
                              <w:tc>
                                <w:tcPr>
                                  <w:tcW w:w="150" w:type="dxa"/>
                                  <w:tcBorders/>
                                  <w:vAlign w:val="bottom"/>
                                </w:tcPr>
                                <w:p>
                                  <w:pPr>
                                    <w:pStyle w:val="TableContents"/>
                                    <w:bidi w:val="0"/>
                                    <w:spacing w:before="0" w:after="283"/>
                                    <w:jc w:val="left"/>
                                    <w:rPr/>
                                  </w:pPr>
                                  <w:r>
                                    <w:rPr/>
                                    <w:t> </w:t>
                                  </w:r>
                                </w:p>
                              </w:tc>
                              <w:tc>
                                <w:tcPr>
                                  <w:tcW w:w="2356" w:type="dxa"/>
                                  <w:tcBorders/>
                                </w:tcPr>
                                <w:p>
                                  <w:pPr>
                                    <w:pStyle w:val="TableContents"/>
                                    <w:bidi w:val="0"/>
                                    <w:spacing w:before="0" w:after="283"/>
                                    <w:jc w:val="left"/>
                                    <w:rPr/>
                                  </w:pPr>
                                  <w:r>
                                    <w:rPr/>
                                    <w:t>The corporation</w:t>
                                  </w:r>
                                </w:p>
                              </w:tc>
                            </w:tr>
                            <w:tr>
                              <w:trPr>
                                <w:trHeight w:val="30" w:hRule="atLeast"/>
                              </w:trPr>
                              <w:tc>
                                <w:tcPr>
                                  <w:tcW w:w="209" w:type="dxa"/>
                                  <w:gridSpan w:val="3"/>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c>
                                <w:tcPr>
                                  <w:tcW w:w="2506" w:type="dxa"/>
                                  <w:gridSpan w:val="2"/>
                                  <w:tcBorders/>
                                  <w:vAlign w:val="center"/>
                                </w:tcPr>
                                <w:p>
                                  <w:pPr>
                                    <w:pStyle w:val="TableContents"/>
                                    <w:bidi w:val="0"/>
                                    <w:spacing w:before="0" w:after="283"/>
                                    <w:jc w:val="left"/>
                                    <w:rPr>
                                      <w:sz w:val="4"/>
                                      <w:szCs w:val="4"/>
                                    </w:rPr>
                                  </w:pPr>
                                  <w:r>
                                    <w:rPr>
                                      <w:sz w:val="4"/>
                                      <w:szCs w:val="4"/>
                                    </w:rPr>
                                  </w:r>
                                </w:p>
                              </w:tc>
                            </w:tr>
                            <w:tr>
                              <w:trPr/>
                              <w:tc>
                                <w:tcPr>
                                  <w:tcW w:w="29" w:type="dxa"/>
                                  <w:tcBorders/>
                                </w:tcPr>
                                <w:p>
                                  <w:pPr>
                                    <w:pStyle w:val="TableContents"/>
                                    <w:bidi w:val="0"/>
                                    <w:spacing w:before="0" w:after="283"/>
                                    <w:jc w:val="left"/>
                                    <w:rPr/>
                                  </w:pPr>
                                  <w:r>
                                    <w:rPr/>
                                    <w:t> </w:t>
                                  </w:r>
                                </w:p>
                              </w:tc>
                              <w:tc>
                                <w:tcPr>
                                  <w:tcW w:w="150" w:type="dxa"/>
                                  <w:tcBorders/>
                                </w:tcPr>
                                <w:p>
                                  <w:pPr>
                                    <w:pStyle w:val="TableContents"/>
                                    <w:bidi w:val="0"/>
                                    <w:spacing w:before="0" w:after="283"/>
                                    <w:jc w:val="right"/>
                                    <w:rPr/>
                                  </w:pPr>
                                  <w:r>
                                    <w:rPr/>
                                    <w:t>11.</w:t>
                                  </w:r>
                                </w:p>
                              </w:tc>
                              <w:tc>
                                <w:tcPr>
                                  <w:tcW w:w="30" w:type="dxa"/>
                                  <w:tcBorders/>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56" w:type="dxa"/>
                                  <w:tcBorders/>
                                </w:tcPr>
                                <w:p>
                                  <w:pPr>
                                    <w:pStyle w:val="TableContents"/>
                                    <w:bidi w:val="0"/>
                                    <w:spacing w:before="0" w:after="283"/>
                                    <w:jc w:val="left"/>
                                    <w:rPr/>
                                  </w:pPr>
                                  <w:r>
                                    <w:rPr/>
                                    <w:t>Association, club, religious, charitable, educational, or other tax-exempt organization</w:t>
                                  </w:r>
                                </w:p>
                              </w:tc>
                              <w:tc>
                                <w:tcPr>
                                  <w:tcW w:w="150" w:type="dxa"/>
                                  <w:tcBorders/>
                                  <w:vAlign w:val="bottom"/>
                                </w:tcPr>
                                <w:p>
                                  <w:pPr>
                                    <w:pStyle w:val="TableContents"/>
                                    <w:bidi w:val="0"/>
                                    <w:spacing w:before="0" w:after="283"/>
                                    <w:jc w:val="left"/>
                                    <w:rPr/>
                                  </w:pPr>
                                  <w:r>
                                    <w:rPr/>
                                    <w:t> </w:t>
                                  </w:r>
                                </w:p>
                              </w:tc>
                              <w:tc>
                                <w:tcPr>
                                  <w:tcW w:w="2356" w:type="dxa"/>
                                  <w:tcBorders/>
                                </w:tcPr>
                                <w:p>
                                  <w:pPr>
                                    <w:pStyle w:val="TableContents"/>
                                    <w:bidi w:val="0"/>
                                    <w:spacing w:before="0" w:after="283"/>
                                    <w:jc w:val="left"/>
                                    <w:rPr/>
                                  </w:pPr>
                                  <w:r>
                                    <w:rPr/>
                                    <w:t>The organization</w:t>
                                  </w:r>
                                </w:p>
                              </w:tc>
                            </w:tr>
                            <w:tr>
                              <w:trPr>
                                <w:trHeight w:val="30" w:hRule="atLeast"/>
                              </w:trPr>
                              <w:tc>
                                <w:tcPr>
                                  <w:tcW w:w="209" w:type="dxa"/>
                                  <w:gridSpan w:val="3"/>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c>
                                <w:tcPr>
                                  <w:tcW w:w="2506" w:type="dxa"/>
                                  <w:gridSpan w:val="2"/>
                                  <w:tcBorders/>
                                  <w:vAlign w:val="center"/>
                                </w:tcPr>
                                <w:p>
                                  <w:pPr>
                                    <w:pStyle w:val="TableContents"/>
                                    <w:bidi w:val="0"/>
                                    <w:spacing w:before="0" w:after="283"/>
                                    <w:jc w:val="left"/>
                                    <w:rPr>
                                      <w:sz w:val="4"/>
                                      <w:szCs w:val="4"/>
                                    </w:rPr>
                                  </w:pPr>
                                  <w:r>
                                    <w:rPr>
                                      <w:sz w:val="4"/>
                                      <w:szCs w:val="4"/>
                                    </w:rPr>
                                  </w:r>
                                </w:p>
                              </w:tc>
                            </w:tr>
                            <w:tr>
                              <w:trPr/>
                              <w:tc>
                                <w:tcPr>
                                  <w:tcW w:w="29" w:type="dxa"/>
                                  <w:tcBorders/>
                                </w:tcPr>
                                <w:p>
                                  <w:pPr>
                                    <w:pStyle w:val="TableContents"/>
                                    <w:bidi w:val="0"/>
                                    <w:spacing w:before="0" w:after="283"/>
                                    <w:jc w:val="left"/>
                                    <w:rPr/>
                                  </w:pPr>
                                  <w:r>
                                    <w:rPr/>
                                    <w:t> </w:t>
                                  </w:r>
                                </w:p>
                              </w:tc>
                              <w:tc>
                                <w:tcPr>
                                  <w:tcW w:w="150" w:type="dxa"/>
                                  <w:tcBorders/>
                                </w:tcPr>
                                <w:p>
                                  <w:pPr>
                                    <w:pStyle w:val="TableContents"/>
                                    <w:bidi w:val="0"/>
                                    <w:spacing w:before="0" w:after="283"/>
                                    <w:jc w:val="right"/>
                                    <w:rPr/>
                                  </w:pPr>
                                  <w:r>
                                    <w:rPr/>
                                    <w:t>12.</w:t>
                                  </w:r>
                                </w:p>
                              </w:tc>
                              <w:tc>
                                <w:tcPr>
                                  <w:tcW w:w="30" w:type="dxa"/>
                                  <w:tcBorders/>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56" w:type="dxa"/>
                                  <w:tcBorders/>
                                </w:tcPr>
                                <w:p>
                                  <w:pPr>
                                    <w:pStyle w:val="TableContents"/>
                                    <w:bidi w:val="0"/>
                                    <w:spacing w:before="0" w:after="283"/>
                                    <w:jc w:val="left"/>
                                    <w:rPr/>
                                  </w:pPr>
                                  <w:r>
                                    <w:rPr/>
                                    <w:t>Partnership or multi-member LLC</w:t>
                                  </w:r>
                                </w:p>
                              </w:tc>
                              <w:tc>
                                <w:tcPr>
                                  <w:tcW w:w="150" w:type="dxa"/>
                                  <w:tcBorders/>
                                  <w:vAlign w:val="bottom"/>
                                </w:tcPr>
                                <w:p>
                                  <w:pPr>
                                    <w:pStyle w:val="TableContents"/>
                                    <w:bidi w:val="0"/>
                                    <w:spacing w:before="0" w:after="283"/>
                                    <w:jc w:val="left"/>
                                    <w:rPr/>
                                  </w:pPr>
                                  <w:r>
                                    <w:rPr/>
                                    <w:t> </w:t>
                                  </w:r>
                                </w:p>
                              </w:tc>
                              <w:tc>
                                <w:tcPr>
                                  <w:tcW w:w="2356" w:type="dxa"/>
                                  <w:tcBorders/>
                                </w:tcPr>
                                <w:p>
                                  <w:pPr>
                                    <w:pStyle w:val="TableContents"/>
                                    <w:bidi w:val="0"/>
                                    <w:spacing w:before="0" w:after="283"/>
                                    <w:jc w:val="left"/>
                                    <w:rPr/>
                                  </w:pPr>
                                  <w:r>
                                    <w:rPr/>
                                    <w:t>The partnership</w:t>
                                  </w:r>
                                </w:p>
                              </w:tc>
                            </w:tr>
                            <w:tr>
                              <w:trPr>
                                <w:trHeight w:val="30" w:hRule="atLeast"/>
                              </w:trPr>
                              <w:tc>
                                <w:tcPr>
                                  <w:tcW w:w="209" w:type="dxa"/>
                                  <w:gridSpan w:val="3"/>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c>
                                <w:tcPr>
                                  <w:tcW w:w="2506" w:type="dxa"/>
                                  <w:gridSpan w:val="2"/>
                                  <w:tcBorders/>
                                  <w:vAlign w:val="center"/>
                                </w:tcPr>
                                <w:p>
                                  <w:pPr>
                                    <w:pStyle w:val="TableContents"/>
                                    <w:bidi w:val="0"/>
                                    <w:spacing w:before="0" w:after="283"/>
                                    <w:jc w:val="left"/>
                                    <w:rPr>
                                      <w:sz w:val="4"/>
                                      <w:szCs w:val="4"/>
                                    </w:rPr>
                                  </w:pPr>
                                  <w:r>
                                    <w:rPr>
                                      <w:sz w:val="4"/>
                                      <w:szCs w:val="4"/>
                                    </w:rPr>
                                  </w:r>
                                </w:p>
                              </w:tc>
                            </w:tr>
                            <w:tr>
                              <w:trPr/>
                              <w:tc>
                                <w:tcPr>
                                  <w:tcW w:w="29" w:type="dxa"/>
                                  <w:tcBorders/>
                                </w:tcPr>
                                <w:p>
                                  <w:pPr>
                                    <w:pStyle w:val="TableContents"/>
                                    <w:bidi w:val="0"/>
                                    <w:spacing w:before="0" w:after="283"/>
                                    <w:jc w:val="left"/>
                                    <w:rPr/>
                                  </w:pPr>
                                  <w:r>
                                    <w:rPr/>
                                    <w:t> </w:t>
                                  </w:r>
                                </w:p>
                              </w:tc>
                              <w:tc>
                                <w:tcPr>
                                  <w:tcW w:w="150" w:type="dxa"/>
                                  <w:tcBorders/>
                                </w:tcPr>
                                <w:p>
                                  <w:pPr>
                                    <w:pStyle w:val="TableContents"/>
                                    <w:bidi w:val="0"/>
                                    <w:spacing w:before="0" w:after="283"/>
                                    <w:jc w:val="right"/>
                                    <w:rPr/>
                                  </w:pPr>
                                  <w:r>
                                    <w:rPr/>
                                    <w:t>13.</w:t>
                                  </w:r>
                                </w:p>
                              </w:tc>
                              <w:tc>
                                <w:tcPr>
                                  <w:tcW w:w="30" w:type="dxa"/>
                                  <w:tcBorders/>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56" w:type="dxa"/>
                                  <w:tcBorders/>
                                </w:tcPr>
                                <w:p>
                                  <w:pPr>
                                    <w:pStyle w:val="TableContents"/>
                                    <w:bidi w:val="0"/>
                                    <w:spacing w:before="0" w:after="283"/>
                                    <w:jc w:val="left"/>
                                    <w:rPr/>
                                  </w:pPr>
                                  <w:r>
                                    <w:rPr/>
                                    <w:t>A broker or registered nominee</w:t>
                                  </w:r>
                                </w:p>
                              </w:tc>
                              <w:tc>
                                <w:tcPr>
                                  <w:tcW w:w="150" w:type="dxa"/>
                                  <w:tcBorders/>
                                  <w:vAlign w:val="bottom"/>
                                </w:tcPr>
                                <w:p>
                                  <w:pPr>
                                    <w:pStyle w:val="TableContents"/>
                                    <w:bidi w:val="0"/>
                                    <w:spacing w:before="0" w:after="283"/>
                                    <w:jc w:val="left"/>
                                    <w:rPr/>
                                  </w:pPr>
                                  <w:r>
                                    <w:rPr/>
                                    <w:t> </w:t>
                                  </w:r>
                                </w:p>
                              </w:tc>
                              <w:tc>
                                <w:tcPr>
                                  <w:tcW w:w="2356" w:type="dxa"/>
                                  <w:tcBorders/>
                                </w:tcPr>
                                <w:p>
                                  <w:pPr>
                                    <w:pStyle w:val="TableContents"/>
                                    <w:bidi w:val="0"/>
                                    <w:spacing w:before="0" w:after="283"/>
                                    <w:jc w:val="left"/>
                                    <w:rPr/>
                                  </w:pPr>
                                  <w:r>
                                    <w:rPr/>
                                    <w:t>The broker or nominee</w:t>
                                  </w:r>
                                </w:p>
                              </w:tc>
                            </w:tr>
                            <w:tr>
                              <w:trPr>
                                <w:trHeight w:val="30" w:hRule="atLeast"/>
                              </w:trPr>
                              <w:tc>
                                <w:tcPr>
                                  <w:tcW w:w="209" w:type="dxa"/>
                                  <w:gridSpan w:val="3"/>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c>
                                <w:tcPr>
                                  <w:tcW w:w="2506" w:type="dxa"/>
                                  <w:gridSpan w:val="2"/>
                                  <w:tcBorders/>
                                  <w:vAlign w:val="center"/>
                                </w:tcPr>
                                <w:p>
                                  <w:pPr>
                                    <w:pStyle w:val="TableContents"/>
                                    <w:bidi w:val="0"/>
                                    <w:spacing w:before="0" w:after="283"/>
                                    <w:jc w:val="left"/>
                                    <w:rPr>
                                      <w:sz w:val="4"/>
                                      <w:szCs w:val="4"/>
                                    </w:rPr>
                                  </w:pPr>
                                  <w:r>
                                    <w:rPr>
                                      <w:sz w:val="4"/>
                                      <w:szCs w:val="4"/>
                                    </w:rPr>
                                  </w:r>
                                </w:p>
                              </w:tc>
                            </w:tr>
                            <w:tr>
                              <w:trPr/>
                              <w:tc>
                                <w:tcPr>
                                  <w:tcW w:w="29" w:type="dxa"/>
                                  <w:tcBorders/>
                                </w:tcPr>
                                <w:p>
                                  <w:pPr>
                                    <w:pStyle w:val="TableContents"/>
                                    <w:bidi w:val="0"/>
                                    <w:spacing w:before="0" w:after="283"/>
                                    <w:jc w:val="left"/>
                                    <w:rPr/>
                                  </w:pPr>
                                  <w:r>
                                    <w:rPr/>
                                    <w:t> </w:t>
                                  </w:r>
                                </w:p>
                              </w:tc>
                              <w:tc>
                                <w:tcPr>
                                  <w:tcW w:w="150" w:type="dxa"/>
                                  <w:tcBorders/>
                                </w:tcPr>
                                <w:p>
                                  <w:pPr>
                                    <w:pStyle w:val="TableContents"/>
                                    <w:bidi w:val="0"/>
                                    <w:spacing w:before="0" w:after="283"/>
                                    <w:jc w:val="right"/>
                                    <w:rPr/>
                                  </w:pPr>
                                  <w:r>
                                    <w:rPr/>
                                    <w:t>14.</w:t>
                                  </w:r>
                                </w:p>
                              </w:tc>
                              <w:tc>
                                <w:tcPr>
                                  <w:tcW w:w="30" w:type="dxa"/>
                                  <w:tcBorders/>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56" w:type="dxa"/>
                                  <w:tcBorders/>
                                </w:tcPr>
                                <w:p>
                                  <w:pPr>
                                    <w:pStyle w:val="TableContents"/>
                                    <w:bidi w:val="0"/>
                                    <w:spacing w:before="0" w:after="283"/>
                                    <w:jc w:val="left"/>
                                    <w:rPr/>
                                  </w:pPr>
                                  <w:r>
                                    <w:rPr/>
                                    <w:t>Account with the Department of Agriculture in the name of a public entity (such as a state or local government, school district, or prison) that receives agricultural program payments</w:t>
                                  </w:r>
                                </w:p>
                              </w:tc>
                              <w:tc>
                                <w:tcPr>
                                  <w:tcW w:w="150" w:type="dxa"/>
                                  <w:tcBorders/>
                                  <w:vAlign w:val="bottom"/>
                                </w:tcPr>
                                <w:p>
                                  <w:pPr>
                                    <w:pStyle w:val="TableContents"/>
                                    <w:bidi w:val="0"/>
                                    <w:spacing w:before="0" w:after="283"/>
                                    <w:jc w:val="left"/>
                                    <w:rPr/>
                                  </w:pPr>
                                  <w:r>
                                    <w:rPr/>
                                    <w:t> </w:t>
                                  </w:r>
                                </w:p>
                              </w:tc>
                              <w:tc>
                                <w:tcPr>
                                  <w:tcW w:w="2356" w:type="dxa"/>
                                  <w:tcBorders/>
                                </w:tcPr>
                                <w:p>
                                  <w:pPr>
                                    <w:pStyle w:val="TableContents"/>
                                    <w:bidi w:val="0"/>
                                    <w:spacing w:before="0" w:after="283"/>
                                    <w:jc w:val="left"/>
                                    <w:rPr/>
                                  </w:pPr>
                                  <w:r>
                                    <w:rPr/>
                                    <w:t>The public entity</w:t>
                                  </w:r>
                                </w:p>
                              </w:tc>
                            </w:tr>
                            <w:tr>
                              <w:trPr>
                                <w:trHeight w:val="30" w:hRule="atLeast"/>
                              </w:trPr>
                              <w:tc>
                                <w:tcPr>
                                  <w:tcW w:w="209" w:type="dxa"/>
                                  <w:gridSpan w:val="3"/>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c>
                                <w:tcPr>
                                  <w:tcW w:w="2506" w:type="dxa"/>
                                  <w:gridSpan w:val="2"/>
                                  <w:tcBorders/>
                                  <w:vAlign w:val="center"/>
                                </w:tcPr>
                                <w:p>
                                  <w:pPr>
                                    <w:pStyle w:val="TableContents"/>
                                    <w:bidi w:val="0"/>
                                    <w:spacing w:before="0" w:after="283"/>
                                    <w:jc w:val="left"/>
                                    <w:rPr>
                                      <w:sz w:val="4"/>
                                      <w:szCs w:val="4"/>
                                    </w:rPr>
                                  </w:pPr>
                                  <w:r>
                                    <w:rPr>
                                      <w:sz w:val="4"/>
                                      <w:szCs w:val="4"/>
                                    </w:rPr>
                                  </w:r>
                                </w:p>
                              </w:tc>
                            </w:tr>
                            <w:tr>
                              <w:trPr/>
                              <w:tc>
                                <w:tcPr>
                                  <w:tcW w:w="29" w:type="dxa"/>
                                  <w:tcBorders>
                                    <w:bottom w:val="single" w:sz="2" w:space="0" w:color="000000"/>
                                  </w:tcBorders>
                                  <w:tcMar>
                                    <w:bottom w:w="28" w:type="dxa"/>
                                  </w:tcMar>
                                </w:tcPr>
                                <w:p>
                                  <w:pPr>
                                    <w:pStyle w:val="TableContents"/>
                                    <w:bidi w:val="0"/>
                                    <w:spacing w:before="0" w:after="283"/>
                                    <w:jc w:val="left"/>
                                    <w:rPr/>
                                  </w:pPr>
                                  <w:r>
                                    <w:rPr/>
                                    <w:t> </w:t>
                                  </w:r>
                                </w:p>
                              </w:tc>
                              <w:tc>
                                <w:tcPr>
                                  <w:tcW w:w="150" w:type="dxa"/>
                                  <w:tcBorders>
                                    <w:bottom w:val="single" w:sz="2" w:space="0" w:color="000000"/>
                                  </w:tcBorders>
                                  <w:tcMar>
                                    <w:bottom w:w="28" w:type="dxa"/>
                                  </w:tcMar>
                                </w:tcPr>
                                <w:p>
                                  <w:pPr>
                                    <w:pStyle w:val="TableContents"/>
                                    <w:bidi w:val="0"/>
                                    <w:spacing w:before="0" w:after="283"/>
                                    <w:jc w:val="right"/>
                                    <w:rPr/>
                                  </w:pPr>
                                  <w:r>
                                    <w:rPr/>
                                    <w:t>15.</w:t>
                                  </w:r>
                                </w:p>
                              </w:tc>
                              <w:tc>
                                <w:tcPr>
                                  <w:tcW w:w="30" w:type="dxa"/>
                                  <w:tcBorders>
                                    <w:bottom w:val="single" w:sz="2" w:space="0" w:color="000000"/>
                                  </w:tcBorders>
                                  <w:tcMar>
                                    <w:bottom w:w="28" w:type="dxa"/>
                                  </w:tcMar>
                                </w:tcPr>
                                <w:p>
                                  <w:pPr>
                                    <w:pStyle w:val="TableContents"/>
                                    <w:bidi w:val="0"/>
                                    <w:spacing w:before="0" w:after="283"/>
                                    <w:jc w:val="left"/>
                                    <w:rPr/>
                                  </w:pPr>
                                  <w:r>
                                    <w:rPr/>
                                    <w:t> </w:t>
                                  </w:r>
                                </w:p>
                              </w:tc>
                              <w:tc>
                                <w:tcPr>
                                  <w:tcW w:w="29" w:type="dxa"/>
                                  <w:tcBorders>
                                    <w:bottom w:val="single" w:sz="2" w:space="0" w:color="000000"/>
                                  </w:tcBorders>
                                  <w:tcMar>
                                    <w:bottom w:w="28" w:type="dxa"/>
                                  </w:tcMar>
                                  <w:vAlign w:val="bottom"/>
                                </w:tcPr>
                                <w:p>
                                  <w:pPr>
                                    <w:pStyle w:val="TableContents"/>
                                    <w:bidi w:val="0"/>
                                    <w:spacing w:before="0" w:after="283"/>
                                    <w:jc w:val="left"/>
                                    <w:rPr/>
                                  </w:pPr>
                                  <w:r>
                                    <w:rPr/>
                                    <w:t> </w:t>
                                  </w:r>
                                </w:p>
                              </w:tc>
                              <w:tc>
                                <w:tcPr>
                                  <w:tcW w:w="2256" w:type="dxa"/>
                                  <w:tcBorders>
                                    <w:bottom w:val="single" w:sz="2" w:space="0" w:color="000000"/>
                                  </w:tcBorders>
                                  <w:tcMar>
                                    <w:bottom w:w="28" w:type="dxa"/>
                                  </w:tcMar>
                                </w:tcPr>
                                <w:p>
                                  <w:pPr>
                                    <w:pStyle w:val="TableContents"/>
                                    <w:bidi w:val="0"/>
                                    <w:spacing w:before="0" w:after="283"/>
                                    <w:jc w:val="left"/>
                                    <w:rPr/>
                                  </w:pPr>
                                  <w:r>
                                    <w:rPr/>
                                    <w:t>Grantor trust filing Form 1041 or under the Optional Filing Method 2, requiring Form 1099 (see Regulations section 1.671-4(b)(2)(i)(B))**</w:t>
                                  </w:r>
                                </w:p>
                              </w:tc>
                              <w:tc>
                                <w:tcPr>
                                  <w:tcW w:w="150" w:type="dxa"/>
                                  <w:tcBorders>
                                    <w:bottom w:val="single" w:sz="2" w:space="0" w:color="000000"/>
                                  </w:tcBorders>
                                  <w:tcMar>
                                    <w:bottom w:w="28" w:type="dxa"/>
                                  </w:tcMar>
                                  <w:vAlign w:val="bottom"/>
                                </w:tcPr>
                                <w:p>
                                  <w:pPr>
                                    <w:pStyle w:val="TableContents"/>
                                    <w:bidi w:val="0"/>
                                    <w:spacing w:before="0" w:after="283"/>
                                    <w:jc w:val="left"/>
                                    <w:rPr/>
                                  </w:pPr>
                                  <w:r>
                                    <w:rPr/>
                                    <w:t> </w:t>
                                  </w:r>
                                </w:p>
                              </w:tc>
                              <w:tc>
                                <w:tcPr>
                                  <w:tcW w:w="2356" w:type="dxa"/>
                                  <w:tcBorders>
                                    <w:bottom w:val="single" w:sz="2" w:space="0" w:color="000000"/>
                                  </w:tcBorders>
                                  <w:tcMar>
                                    <w:bottom w:w="28" w:type="dxa"/>
                                  </w:tcMar>
                                </w:tcPr>
                                <w:p>
                                  <w:pPr>
                                    <w:pStyle w:val="TableContents"/>
                                    <w:bidi w:val="0"/>
                                    <w:spacing w:before="0" w:after="283"/>
                                    <w:jc w:val="left"/>
                                    <w:rPr/>
                                  </w:pPr>
                                  <w:r>
                                    <w:rPr/>
                                    <w:t>The trust</w:t>
                                  </w:r>
                                </w:p>
                              </w:tc>
                            </w:tr>
                          </w:tbl>
                          <w:p>
                            <w:pPr>
                              <w:pStyle w:val="TextBody"/>
                              <w:bidi w:val="0"/>
                              <w:spacing w:before="40" w:after="0"/>
                              <w:jc w:val="left"/>
                              <w:rPr>
                                <w:rFonts w:ascii="Times New Roman" w:hAnsi="Times New Roman"/>
                                <w:sz w:val="16"/>
                              </w:rPr>
                            </w:pPr>
                            <w:r>
                              <w:rPr>
                                <w:rFonts w:ascii="Times New Roman" w:hAnsi="Times New Roman"/>
                                <w:sz w:val="16"/>
                              </w:rPr>
                              <w:t xml:space="preserve">List first and circle the name of the person whose number you furnish. If only one person on a joint account has an SSN, that person’s number must be furnished. </w:t>
                            </w:r>
                          </w:p>
                          <w:p>
                            <w:pPr>
                              <w:pStyle w:val="TextBody"/>
                              <w:bidi w:val="0"/>
                              <w:spacing w:before="40" w:after="0"/>
                              <w:jc w:val="left"/>
                              <w:rPr>
                                <w:rFonts w:ascii="Times New Roman" w:hAnsi="Times New Roman"/>
                                <w:sz w:val="16"/>
                              </w:rPr>
                            </w:pPr>
                            <w:r>
                              <w:rPr>
                                <w:rFonts w:ascii="Times New Roman" w:hAnsi="Times New Roman"/>
                                <w:sz w:val="16"/>
                              </w:rPr>
                              <w:t xml:space="preserve">Circle the minor’s name and furnish the minor’s SSN. </w:t>
                            </w:r>
                          </w:p>
                          <w:p>
                            <w:pPr>
                              <w:pStyle w:val="TextBody"/>
                              <w:bidi w:val="0"/>
                              <w:spacing w:before="40" w:after="0"/>
                              <w:jc w:val="left"/>
                              <w:rPr>
                                <w:rFonts w:ascii="Times New Roman" w:hAnsi="Times New Roman"/>
                                <w:sz w:val="16"/>
                              </w:rPr>
                            </w:pPr>
                            <w:r>
                              <w:rPr>
                                <w:rFonts w:ascii="Times New Roman" w:hAnsi="Times New Roman"/>
                                <w:sz w:val="16"/>
                              </w:rPr>
                              <w:t xml:space="preserve">You must show your individual name on line 1, and enter your business or DBA name, if any, on line 2. You may use either your SSN or EIN (if you have one), but the IRS encourages you to use your SSN. </w:t>
                            </w:r>
                          </w:p>
                          <w:p>
                            <w:pPr>
                              <w:pStyle w:val="TextBody"/>
                              <w:bidi w:val="0"/>
                              <w:spacing w:before="40" w:after="0"/>
                              <w:jc w:val="left"/>
                              <w:rPr>
                                <w:rFonts w:ascii="Times New Roman" w:hAnsi="Times New Roman"/>
                                <w:sz w:val="16"/>
                              </w:rPr>
                            </w:pPr>
                            <w:r>
                              <w:rPr>
                                <w:rFonts w:ascii="Times New Roman" w:hAnsi="Times New Roman"/>
                                <w:sz w:val="16"/>
                              </w:rPr>
                              <w:t xml:space="preserve">List first and circle the name of the trust, estate, or pension trust. (Do not furnish the TIN of the personal representative or trustee unless the legal entity itself is not designated in the account title.) </w:t>
                            </w:r>
                          </w:p>
                          <w:p>
                            <w:pPr>
                              <w:pStyle w:val="TextBody"/>
                              <w:bidi w:val="0"/>
                              <w:spacing w:before="40" w:after="0"/>
                              <w:jc w:val="left"/>
                              <w:rPr>
                                <w:rFonts w:ascii="Times New Roman" w:hAnsi="Times New Roman"/>
                                <w:sz w:val="16"/>
                              </w:rPr>
                            </w:pPr>
                            <w:r>
                              <w:rPr>
                                <w:rFonts w:ascii="Times New Roman" w:hAnsi="Times New Roman"/>
                                <w:sz w:val="16"/>
                              </w:rPr>
                              <w:t xml:space="preserve">* </w:t>
                            </w:r>
                            <w:r>
                              <w:rPr>
                                <w:rFonts w:ascii="Times New Roman" w:hAnsi="Times New Roman"/>
                                <w:b/>
                                <w:sz w:val="16"/>
                              </w:rPr>
                              <w:t>Note:</w:t>
                            </w:r>
                            <w:r>
                              <w:rPr>
                                <w:rFonts w:ascii="Times New Roman" w:hAnsi="Times New Roman"/>
                                <w:sz w:val="16"/>
                              </w:rPr>
                              <w:t xml:space="preserve"> The grantor must also provide a Form W-9 to the trustee of the trust. </w:t>
                            </w:r>
                          </w:p>
                          <w:p>
                            <w:pPr>
                              <w:pStyle w:val="TextBody"/>
                              <w:bidi w:val="0"/>
                              <w:spacing w:before="40" w:after="0"/>
                              <w:jc w:val="left"/>
                              <w:rPr>
                                <w:rFonts w:ascii="Times New Roman" w:hAnsi="Times New Roman"/>
                                <w:sz w:val="16"/>
                              </w:rPr>
                            </w:pPr>
                            <w:r>
                              <w:rPr>
                                <w:rFonts w:ascii="Times New Roman" w:hAnsi="Times New Roman"/>
                                <w:sz w:val="16"/>
                              </w:rPr>
                              <w:t xml:space="preserve">** For more information on optional filing methods for grantor trusts, see the Instructions for Form 1041. </w:t>
                            </w:r>
                          </w:p>
                          <w:p>
                            <w:pPr>
                              <w:pStyle w:val="TextBody"/>
                              <w:bidi w:val="0"/>
                              <w:spacing w:before="40" w:after="0"/>
                              <w:jc w:val="left"/>
                              <w:rPr>
                                <w:rFonts w:ascii="Times New Roman" w:hAnsi="Times New Roman"/>
                                <w:sz w:val="16"/>
                              </w:rPr>
                            </w:pPr>
                            <w:r>
                              <w:rPr>
                                <w:rFonts w:ascii="Times New Roman" w:hAnsi="Times New Roman"/>
                                <w:b/>
                                <w:sz w:val="16"/>
                              </w:rPr>
                              <w:t>Note:</w:t>
                            </w:r>
                            <w:r>
                              <w:rPr>
                                <w:rFonts w:ascii="Times New Roman" w:hAnsi="Times New Roman"/>
                                <w:sz w:val="16"/>
                              </w:rPr>
                              <w:t xml:space="preserve"> If no name is circled when more than one name is listed, the number will be considered to be that of the first name listed. </w:t>
                            </w:r>
                          </w:p>
                          <w:p>
                            <w:pPr>
                              <w:pStyle w:val="TextBody"/>
                              <w:bidi w:val="0"/>
                              <w:spacing w:before="120" w:after="0"/>
                              <w:jc w:val="left"/>
                              <w:rPr>
                                <w:rFonts w:ascii="Times New Roman" w:hAnsi="Times New Roman"/>
                                <w:b/>
                                <w:sz w:val="24"/>
                              </w:rPr>
                            </w:pPr>
                            <w:r>
                              <w:rPr>
                                <w:rFonts w:ascii="Times New Roman" w:hAnsi="Times New Roman"/>
                                <w:b/>
                                <w:sz w:val="24"/>
                              </w:rPr>
                              <w:t xml:space="preserve">Secure Your Tax Records From Identity Theft </w:t>
                            </w:r>
                          </w:p>
                          <w:p>
                            <w:pPr>
                              <w:pStyle w:val="TextBody"/>
                              <w:bidi w:val="0"/>
                              <w:spacing w:before="40" w:after="0"/>
                              <w:jc w:val="left"/>
                              <w:rPr>
                                <w:rFonts w:ascii="Times New Roman" w:hAnsi="Times New Roman"/>
                                <w:sz w:val="16"/>
                              </w:rPr>
                            </w:pPr>
                            <w:r>
                              <w:rPr>
                                <w:rFonts w:ascii="Times New Roman" w:hAnsi="Times New Roman"/>
                                <w:sz w:val="16"/>
                              </w:rPr>
                              <w:t xml:space="preserve">Identity theft occurs when someone uses your personal information, such as your name, SSN, or other identifying information, without your permission to commit fraud or other crimes. An identity thief may use your SSN to get a job or may file a tax return using your SSN to receive a refund. </w:t>
                            </w:r>
                          </w:p>
                          <w:p>
                            <w:pPr>
                              <w:pStyle w:val="TextBody"/>
                              <w:bidi w:val="0"/>
                              <w:spacing w:before="40" w:after="0"/>
                              <w:jc w:val="left"/>
                              <w:rPr>
                                <w:rFonts w:ascii="Times New Roman" w:hAnsi="Times New Roman"/>
                                <w:sz w:val="16"/>
                              </w:rPr>
                            </w:pPr>
                            <w:r>
                              <w:rPr>
                                <w:rFonts w:ascii="Times New Roman" w:hAnsi="Times New Roman"/>
                                <w:sz w:val="16"/>
                              </w:rPr>
                              <w:t xml:space="preserve">To reduce your risk: </w:t>
                            </w:r>
                          </w:p>
                          <w:p>
                            <w:pPr>
                              <w:pStyle w:val="TextBody"/>
                              <w:bidi w:val="0"/>
                              <w:spacing w:before="40" w:after="0"/>
                              <w:jc w:val="left"/>
                              <w:rPr>
                                <w:rFonts w:ascii="Times New Roman" w:hAnsi="Times New Roman"/>
                                <w:sz w:val="16"/>
                              </w:rPr>
                            </w:pPr>
                            <w:r>
                              <w:rPr>
                                <w:rFonts w:ascii="Times New Roman" w:hAnsi="Times New Roman"/>
                                <w:sz w:val="16"/>
                              </w:rPr>
                              <w:t xml:space="preserve"> Protect your SSN, </w:t>
                            </w:r>
                          </w:p>
                          <w:p>
                            <w:pPr>
                              <w:pStyle w:val="TextBody"/>
                              <w:bidi w:val="0"/>
                              <w:spacing w:before="40" w:after="0"/>
                              <w:jc w:val="left"/>
                              <w:rPr>
                                <w:rFonts w:ascii="Times New Roman" w:hAnsi="Times New Roman"/>
                                <w:sz w:val="16"/>
                              </w:rPr>
                            </w:pPr>
                            <w:r>
                              <w:rPr>
                                <w:rFonts w:ascii="Times New Roman" w:hAnsi="Times New Roman"/>
                                <w:sz w:val="16"/>
                              </w:rPr>
                              <w:t xml:space="preserve"> Ensure your employer is protecting your SSN, and </w:t>
                            </w:r>
                          </w:p>
                          <w:p>
                            <w:pPr>
                              <w:pStyle w:val="TextBody"/>
                              <w:bidi w:val="0"/>
                              <w:spacing w:before="40" w:after="0"/>
                              <w:jc w:val="left"/>
                              <w:rPr>
                                <w:rFonts w:ascii="Times New Roman" w:hAnsi="Times New Roman"/>
                                <w:sz w:val="16"/>
                              </w:rPr>
                            </w:pPr>
                            <w:r>
                              <w:rPr>
                                <w:rFonts w:ascii="Times New Roman" w:hAnsi="Times New Roman"/>
                                <w:sz w:val="16"/>
                              </w:rPr>
                              <w:t xml:space="preserve"> Be careful when choosing a tax return preparer. </w:t>
                            </w:r>
                          </w:p>
                          <w:p>
                            <w:pPr>
                              <w:pStyle w:val="TextBody"/>
                              <w:bidi w:val="0"/>
                              <w:spacing w:before="40" w:after="0"/>
                              <w:jc w:val="left"/>
                              <w:rPr>
                                <w:rFonts w:ascii="Times New Roman" w:hAnsi="Times New Roman"/>
                                <w:sz w:val="16"/>
                              </w:rPr>
                            </w:pPr>
                            <w:r>
                              <w:rPr>
                                <w:rFonts w:ascii="Times New Roman" w:hAnsi="Times New Roman"/>
                                <w:sz w:val="16"/>
                              </w:rPr>
                              <w:t xml:space="preserve">If your tax records are affected by identity theft and you receive a notice from the IRS, respond right away to the name and phone number printed on the IRS notice or letter. </w:t>
                            </w:r>
                          </w:p>
                          <w:p>
                            <w:pPr>
                              <w:pStyle w:val="TextBody"/>
                              <w:bidi w:val="0"/>
                              <w:spacing w:before="40" w:after="0"/>
                              <w:jc w:val="left"/>
                              <w:rPr>
                                <w:rFonts w:ascii="Times New Roman" w:hAnsi="Times New Roman"/>
                                <w:sz w:val="16"/>
                              </w:rPr>
                            </w:pPr>
                            <w:r>
                              <w:rPr>
                                <w:rFonts w:ascii="Times New Roman" w:hAnsi="Times New Roman"/>
                                <w:sz w:val="16"/>
                              </w:rPr>
                              <w:t xml:space="preserve">If your tax records are not currently affected by identity theft but you think you are at risk due to a lost or stolen purse or wallet, questionable credit card activity, or a questionable credit report, contact the IRS Identity Theft Hotline at 800-908-4490 or submit Form 14039. </w:t>
                            </w:r>
                          </w:p>
                          <w:p>
                            <w:pPr>
                              <w:pStyle w:val="TextBody"/>
                              <w:bidi w:val="0"/>
                              <w:spacing w:before="40" w:after="0"/>
                              <w:jc w:val="left"/>
                              <w:rPr>
                                <w:rFonts w:ascii="Times New Roman" w:hAnsi="Times New Roman"/>
                                <w:sz w:val="16"/>
                              </w:rPr>
                            </w:pPr>
                            <w:r>
                              <w:rPr>
                                <w:rFonts w:ascii="Times New Roman" w:hAnsi="Times New Roman"/>
                                <w:sz w:val="16"/>
                              </w:rPr>
                              <w:t xml:space="preserve">For more information, see Pub. 5027, Identity Theft Information for Taxpayers. </w:t>
                            </w:r>
                          </w:p>
                          <w:p>
                            <w:pPr>
                              <w:pStyle w:val="TextBody"/>
                              <w:bidi w:val="0"/>
                              <w:spacing w:before="40" w:after="0"/>
                              <w:jc w:val="left"/>
                              <w:rPr>
                                <w:rFonts w:ascii="Times New Roman" w:hAnsi="Times New Roman"/>
                                <w:sz w:val="16"/>
                              </w:rPr>
                            </w:pPr>
                            <w:r>
                              <w:rPr>
                                <w:rFonts w:ascii="Times New Roman" w:hAnsi="Times New Roman"/>
                                <w:sz w:val="16"/>
                              </w:rPr>
                              <w:t xml:space="preserve">Victims of identity theft who are experiencing economic harm or a systemic problem, or are seeking help in resolving tax problems that have not been resolved through normal channels, may be eligible for Taxpayer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29"/>
                        <w:gridCol w:w="69"/>
                        <w:gridCol w:w="29"/>
                        <w:gridCol w:w="30"/>
                        <w:gridCol w:w="2352"/>
                        <w:gridCol w:w="149"/>
                        <w:gridCol w:w="2342"/>
                      </w:tblGrid>
                      <w:tr>
                        <w:trPr/>
                        <w:tc>
                          <w:tcPr>
                            <w:tcW w:w="29"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29" w:type="dxa"/>
                            <w:tcBorders/>
                            <w:vAlign w:val="bottom"/>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2352"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127" w:type="dxa"/>
                            <w:gridSpan w:val="3"/>
                            <w:tcBorders>
                              <w:top w:val="single" w:sz="2" w:space="0" w:color="000000"/>
                            </w:tcBorders>
                            <w:tcMar>
                              <w:top w:w="28" w:type="dxa"/>
                            </w:tcMar>
                            <w:vAlign w:val="center"/>
                          </w:tcPr>
                          <w:p>
                            <w:pPr>
                              <w:pStyle w:val="TableContents"/>
                              <w:bidi w:val="0"/>
                              <w:spacing w:before="0" w:after="283"/>
                              <w:jc w:val="left"/>
                              <w:rPr/>
                            </w:pPr>
                            <w:r>
                              <w:rPr/>
                              <w:t> </w:t>
                            </w:r>
                          </w:p>
                        </w:tc>
                        <w:tc>
                          <w:tcPr>
                            <w:tcW w:w="2382" w:type="dxa"/>
                            <w:gridSpan w:val="2"/>
                            <w:tcBorders>
                              <w:top w:val="single" w:sz="2" w:space="0" w:color="000000"/>
                            </w:tcBorders>
                            <w:tcMar>
                              <w:top w:w="28" w:type="dxa"/>
                            </w:tcMar>
                            <w:vAlign w:val="center"/>
                          </w:tcPr>
                          <w:p>
                            <w:pPr>
                              <w:pStyle w:val="TableContents"/>
                              <w:bidi w:val="0"/>
                              <w:spacing w:before="0" w:after="283"/>
                              <w:jc w:val="left"/>
                              <w:rPr/>
                            </w:pPr>
                            <w:r>
                              <w:rPr/>
                              <w:t> </w:t>
                            </w:r>
                          </w:p>
                        </w:tc>
                        <w:tc>
                          <w:tcPr>
                            <w:tcW w:w="2491" w:type="dxa"/>
                            <w:gridSpan w:val="2"/>
                            <w:tcBorders>
                              <w:top w:val="single" w:sz="2" w:space="0" w:color="000000"/>
                            </w:tcBorders>
                            <w:tcMar>
                              <w:top w:w="28" w:type="dxa"/>
                            </w:tcMar>
                            <w:vAlign w:val="center"/>
                          </w:tcPr>
                          <w:p>
                            <w:pPr>
                              <w:pStyle w:val="TableContents"/>
                              <w:bidi w:val="0"/>
                              <w:spacing w:before="0" w:after="283"/>
                              <w:jc w:val="left"/>
                              <w:rPr/>
                            </w:pPr>
                            <w:r>
                              <w:rPr/>
                              <w:t> </w:t>
                            </w:r>
                          </w:p>
                        </w:tc>
                      </w:tr>
                      <w:tr>
                        <w:trPr/>
                        <w:tc>
                          <w:tcPr>
                            <w:tcW w:w="98" w:type="dxa"/>
                            <w:gridSpan w:val="2"/>
                            <w:tcBorders>
                              <w:bottom w:val="single" w:sz="2" w:space="0" w:color="000000"/>
                            </w:tcBorders>
                            <w:tcMar>
                              <w:bottom w:w="28" w:type="dxa"/>
                            </w:tcMar>
                            <w:vAlign w:val="bottom"/>
                          </w:tcPr>
                          <w:p>
                            <w:pPr>
                              <w:pStyle w:val="TableContents"/>
                              <w:bidi w:val="0"/>
                              <w:spacing w:before="0" w:after="283"/>
                              <w:jc w:val="left"/>
                              <w:rPr/>
                            </w:pPr>
                            <w:r>
                              <w:rPr/>
                              <w:t>  </w:t>
                            </w:r>
                          </w:p>
                        </w:tc>
                        <w:tc>
                          <w:tcPr>
                            <w:tcW w:w="29" w:type="dxa"/>
                            <w:tcBorders>
                              <w:bottom w:val="single" w:sz="2" w:space="0" w:color="000000"/>
                            </w:tcBorders>
                            <w:tcMar>
                              <w:bottom w:w="28" w:type="dxa"/>
                            </w:tcMar>
                            <w:vAlign w:val="bottom"/>
                          </w:tcPr>
                          <w:p>
                            <w:pPr>
                              <w:pStyle w:val="TableContents"/>
                              <w:bidi w:val="0"/>
                              <w:spacing w:before="0" w:after="283"/>
                              <w:jc w:val="left"/>
                              <w:rPr/>
                            </w:pPr>
                            <w:r>
                              <w:rPr/>
                              <w:t> </w:t>
                            </w:r>
                          </w:p>
                        </w:tc>
                        <w:tc>
                          <w:tcPr>
                            <w:tcW w:w="30" w:type="dxa"/>
                            <w:tcBorders>
                              <w:bottom w:val="single" w:sz="2" w:space="0" w:color="000000"/>
                            </w:tcBorders>
                            <w:tcMar>
                              <w:bottom w:w="28" w:type="dxa"/>
                            </w:tcMar>
                            <w:vAlign w:val="bottom"/>
                          </w:tcPr>
                          <w:p>
                            <w:pPr>
                              <w:pStyle w:val="TableContents"/>
                              <w:bidi w:val="0"/>
                              <w:spacing w:before="0" w:after="283"/>
                              <w:jc w:val="left"/>
                              <w:rPr/>
                            </w:pPr>
                            <w:r>
                              <w:rPr/>
                              <w:t> </w:t>
                            </w:r>
                          </w:p>
                        </w:tc>
                        <w:tc>
                          <w:tcPr>
                            <w:tcW w:w="2352" w:type="dxa"/>
                            <w:tcBorders>
                              <w:bottom w:val="single" w:sz="2" w:space="0" w:color="000000"/>
                            </w:tcBorders>
                            <w:tcMar>
                              <w:bottom w:w="28" w:type="dxa"/>
                            </w:tcMar>
                            <w:vAlign w:val="bottom"/>
                          </w:tcPr>
                          <w:p>
                            <w:pPr>
                              <w:pStyle w:val="TableContents"/>
                              <w:bidi w:val="0"/>
                              <w:spacing w:before="0" w:after="283"/>
                              <w:jc w:val="center"/>
                              <w:rPr>
                                <w:b/>
                              </w:rPr>
                            </w:pPr>
                            <w:r>
                              <w:rPr>
                                <w:b/>
                              </w:rPr>
                              <w:t>For this type of account:</w:t>
                            </w:r>
                          </w:p>
                        </w:tc>
                        <w:tc>
                          <w:tcPr>
                            <w:tcW w:w="149" w:type="dxa"/>
                            <w:tcBorders>
                              <w:bottom w:val="single" w:sz="2" w:space="0" w:color="000000"/>
                            </w:tcBorders>
                            <w:tcMar>
                              <w:bottom w:w="28" w:type="dxa"/>
                            </w:tcMar>
                            <w:vAlign w:val="bottom"/>
                          </w:tcPr>
                          <w:p>
                            <w:pPr>
                              <w:pStyle w:val="TableContents"/>
                              <w:bidi w:val="0"/>
                              <w:spacing w:before="0" w:after="283"/>
                              <w:jc w:val="left"/>
                              <w:rPr/>
                            </w:pPr>
                            <w:r>
                              <w:rPr/>
                              <w:t> </w:t>
                            </w:r>
                          </w:p>
                        </w:tc>
                        <w:tc>
                          <w:tcPr>
                            <w:tcW w:w="2342" w:type="dxa"/>
                            <w:tcBorders>
                              <w:bottom w:val="single" w:sz="2" w:space="0" w:color="000000"/>
                            </w:tcBorders>
                            <w:tcMar>
                              <w:bottom w:w="28" w:type="dxa"/>
                            </w:tcMar>
                            <w:vAlign w:val="bottom"/>
                          </w:tcPr>
                          <w:p>
                            <w:pPr>
                              <w:pStyle w:val="TableContents"/>
                              <w:bidi w:val="0"/>
                              <w:spacing w:before="0" w:after="283"/>
                              <w:jc w:val="center"/>
                              <w:rPr>
                                <w:b/>
                              </w:rPr>
                            </w:pPr>
                            <w:r>
                              <w:rPr>
                                <w:b/>
                              </w:rPr>
                              <w:t>Give name and SSN of:</w:t>
                            </w:r>
                          </w:p>
                        </w:tc>
                      </w:tr>
                      <w:tr>
                        <w:trPr>
                          <w:trHeight w:val="30" w:hRule="atLeast"/>
                        </w:trPr>
                        <w:tc>
                          <w:tcPr>
                            <w:tcW w:w="127" w:type="dxa"/>
                            <w:gridSpan w:val="3"/>
                            <w:tcBorders/>
                            <w:vAlign w:val="center"/>
                          </w:tcPr>
                          <w:p>
                            <w:pPr>
                              <w:pStyle w:val="TableContents"/>
                              <w:bidi w:val="0"/>
                              <w:spacing w:before="0" w:after="283"/>
                              <w:jc w:val="left"/>
                              <w:rPr>
                                <w:sz w:val="4"/>
                                <w:szCs w:val="4"/>
                              </w:rPr>
                            </w:pPr>
                            <w:r>
                              <w:rPr>
                                <w:sz w:val="4"/>
                                <w:szCs w:val="4"/>
                              </w:rPr>
                            </w:r>
                          </w:p>
                        </w:tc>
                        <w:tc>
                          <w:tcPr>
                            <w:tcW w:w="2382" w:type="dxa"/>
                            <w:gridSpan w:val="2"/>
                            <w:tcBorders/>
                            <w:vAlign w:val="center"/>
                          </w:tcPr>
                          <w:p>
                            <w:pPr>
                              <w:pStyle w:val="TableContents"/>
                              <w:bidi w:val="0"/>
                              <w:spacing w:before="0" w:after="283"/>
                              <w:jc w:val="left"/>
                              <w:rPr>
                                <w:sz w:val="4"/>
                                <w:szCs w:val="4"/>
                              </w:rPr>
                            </w:pPr>
                            <w:r>
                              <w:rPr>
                                <w:sz w:val="4"/>
                                <w:szCs w:val="4"/>
                              </w:rPr>
                            </w:r>
                          </w:p>
                        </w:tc>
                        <w:tc>
                          <w:tcPr>
                            <w:tcW w:w="2491" w:type="dxa"/>
                            <w:gridSpan w:val="2"/>
                            <w:tcBorders/>
                            <w:vAlign w:val="center"/>
                          </w:tcPr>
                          <w:p>
                            <w:pPr>
                              <w:pStyle w:val="TableContents"/>
                              <w:bidi w:val="0"/>
                              <w:spacing w:before="0" w:after="283"/>
                              <w:jc w:val="left"/>
                              <w:rPr>
                                <w:sz w:val="4"/>
                                <w:szCs w:val="4"/>
                              </w:rPr>
                            </w:pPr>
                            <w:r>
                              <w:rPr>
                                <w:sz w:val="4"/>
                                <w:szCs w:val="4"/>
                              </w:rPr>
                            </w:r>
                          </w:p>
                        </w:tc>
                      </w:tr>
                      <w:tr>
                        <w:trPr/>
                        <w:tc>
                          <w:tcPr>
                            <w:tcW w:w="29" w:type="dxa"/>
                            <w:tcBorders/>
                          </w:tcPr>
                          <w:p>
                            <w:pPr>
                              <w:pStyle w:val="TableContents"/>
                              <w:bidi w:val="0"/>
                              <w:spacing w:before="0" w:after="283"/>
                              <w:jc w:val="left"/>
                              <w:rPr/>
                            </w:pPr>
                            <w:r>
                              <w:rPr/>
                              <w:t> </w:t>
                            </w:r>
                          </w:p>
                        </w:tc>
                        <w:tc>
                          <w:tcPr>
                            <w:tcW w:w="69" w:type="dxa"/>
                            <w:tcBorders/>
                          </w:tcPr>
                          <w:p>
                            <w:pPr>
                              <w:pStyle w:val="TableContents"/>
                              <w:bidi w:val="0"/>
                              <w:spacing w:before="0" w:after="283"/>
                              <w:jc w:val="right"/>
                              <w:rPr/>
                            </w:pPr>
                            <w:r>
                              <w:rPr/>
                              <w:t>6.</w:t>
                            </w:r>
                          </w:p>
                        </w:tc>
                        <w:tc>
                          <w:tcPr>
                            <w:tcW w:w="29" w:type="dxa"/>
                            <w:tcBorders/>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pPr>
                            <w:r>
                              <w:rPr/>
                              <w:t> </w:t>
                            </w:r>
                          </w:p>
                        </w:tc>
                        <w:tc>
                          <w:tcPr>
                            <w:tcW w:w="2352" w:type="dxa"/>
                            <w:tcBorders/>
                          </w:tcPr>
                          <w:p>
                            <w:pPr>
                              <w:pStyle w:val="TableContents"/>
                              <w:bidi w:val="0"/>
                              <w:spacing w:before="0" w:after="283"/>
                              <w:jc w:val="left"/>
                              <w:rPr/>
                            </w:pPr>
                            <w:r>
                              <w:rPr/>
                              <w:t>Sole proprietorship or disregarded entity owned by an individual</w:t>
                            </w:r>
                          </w:p>
                        </w:tc>
                        <w:tc>
                          <w:tcPr>
                            <w:tcW w:w="149" w:type="dxa"/>
                            <w:tcBorders/>
                            <w:vAlign w:val="bottom"/>
                          </w:tcPr>
                          <w:p>
                            <w:pPr>
                              <w:pStyle w:val="TableContents"/>
                              <w:bidi w:val="0"/>
                              <w:spacing w:before="0" w:after="283"/>
                              <w:jc w:val="left"/>
                              <w:rPr/>
                            </w:pPr>
                            <w:r>
                              <w:rPr/>
                              <w:t> </w:t>
                            </w:r>
                          </w:p>
                        </w:tc>
                        <w:tc>
                          <w:tcPr>
                            <w:tcW w:w="2342" w:type="dxa"/>
                            <w:tcBorders/>
                          </w:tcPr>
                          <w:p>
                            <w:pPr>
                              <w:pStyle w:val="TableContents"/>
                              <w:bidi w:val="0"/>
                              <w:spacing w:before="0" w:after="283"/>
                              <w:jc w:val="left"/>
                              <w:rPr/>
                            </w:pPr>
                            <w:r>
                              <w:rPr/>
                              <w:t>The owner</w:t>
                            </w:r>
                          </w:p>
                        </w:tc>
                      </w:tr>
                      <w:tr>
                        <w:trPr>
                          <w:trHeight w:val="30" w:hRule="atLeast"/>
                        </w:trPr>
                        <w:tc>
                          <w:tcPr>
                            <w:tcW w:w="127" w:type="dxa"/>
                            <w:gridSpan w:val="3"/>
                            <w:tcBorders/>
                            <w:vAlign w:val="center"/>
                          </w:tcPr>
                          <w:p>
                            <w:pPr>
                              <w:pStyle w:val="TableContents"/>
                              <w:bidi w:val="0"/>
                              <w:spacing w:before="0" w:after="283"/>
                              <w:jc w:val="left"/>
                              <w:rPr>
                                <w:sz w:val="4"/>
                                <w:szCs w:val="4"/>
                              </w:rPr>
                            </w:pPr>
                            <w:r>
                              <w:rPr>
                                <w:sz w:val="4"/>
                                <w:szCs w:val="4"/>
                              </w:rPr>
                            </w:r>
                          </w:p>
                        </w:tc>
                        <w:tc>
                          <w:tcPr>
                            <w:tcW w:w="2382" w:type="dxa"/>
                            <w:gridSpan w:val="2"/>
                            <w:tcBorders/>
                            <w:vAlign w:val="center"/>
                          </w:tcPr>
                          <w:p>
                            <w:pPr>
                              <w:pStyle w:val="TableContents"/>
                              <w:bidi w:val="0"/>
                              <w:spacing w:before="0" w:after="283"/>
                              <w:jc w:val="left"/>
                              <w:rPr>
                                <w:sz w:val="4"/>
                                <w:szCs w:val="4"/>
                              </w:rPr>
                            </w:pPr>
                            <w:r>
                              <w:rPr>
                                <w:sz w:val="4"/>
                                <w:szCs w:val="4"/>
                              </w:rPr>
                            </w:r>
                          </w:p>
                        </w:tc>
                        <w:tc>
                          <w:tcPr>
                            <w:tcW w:w="2491" w:type="dxa"/>
                            <w:gridSpan w:val="2"/>
                            <w:tcBorders/>
                            <w:vAlign w:val="center"/>
                          </w:tcPr>
                          <w:p>
                            <w:pPr>
                              <w:pStyle w:val="TableContents"/>
                              <w:bidi w:val="0"/>
                              <w:spacing w:before="0" w:after="283"/>
                              <w:jc w:val="left"/>
                              <w:rPr>
                                <w:sz w:val="4"/>
                                <w:szCs w:val="4"/>
                              </w:rPr>
                            </w:pPr>
                            <w:r>
                              <w:rPr>
                                <w:sz w:val="4"/>
                                <w:szCs w:val="4"/>
                              </w:rPr>
                            </w:r>
                          </w:p>
                        </w:tc>
                      </w:tr>
                      <w:tr>
                        <w:trPr/>
                        <w:tc>
                          <w:tcPr>
                            <w:tcW w:w="29" w:type="dxa"/>
                            <w:tcBorders/>
                          </w:tcPr>
                          <w:p>
                            <w:pPr>
                              <w:pStyle w:val="TableContents"/>
                              <w:bidi w:val="0"/>
                              <w:spacing w:before="0" w:after="283"/>
                              <w:jc w:val="left"/>
                              <w:rPr/>
                            </w:pPr>
                            <w:r>
                              <w:rPr/>
                              <w:t> </w:t>
                            </w:r>
                          </w:p>
                        </w:tc>
                        <w:tc>
                          <w:tcPr>
                            <w:tcW w:w="69" w:type="dxa"/>
                            <w:tcBorders/>
                          </w:tcPr>
                          <w:p>
                            <w:pPr>
                              <w:pStyle w:val="TableContents"/>
                              <w:bidi w:val="0"/>
                              <w:spacing w:before="0" w:after="283"/>
                              <w:jc w:val="right"/>
                              <w:rPr/>
                            </w:pPr>
                            <w:r>
                              <w:rPr/>
                              <w:t>7.</w:t>
                            </w:r>
                          </w:p>
                        </w:tc>
                        <w:tc>
                          <w:tcPr>
                            <w:tcW w:w="29" w:type="dxa"/>
                            <w:tcBorders/>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pPr>
                            <w:r>
                              <w:rPr/>
                              <w:t> </w:t>
                            </w:r>
                          </w:p>
                        </w:tc>
                        <w:tc>
                          <w:tcPr>
                            <w:tcW w:w="2352" w:type="dxa"/>
                            <w:tcBorders/>
                          </w:tcPr>
                          <w:p>
                            <w:pPr>
                              <w:pStyle w:val="TableContents"/>
                              <w:bidi w:val="0"/>
                              <w:spacing w:before="0" w:after="283"/>
                              <w:jc w:val="left"/>
                              <w:rPr/>
                            </w:pPr>
                            <w:r>
                              <w:rPr/>
                              <w:t>Grantortrust filing under Optional Filing Method 1 (see Regulations section 1.671-4(b)(2)(i)(A))**</w:t>
                            </w:r>
                          </w:p>
                        </w:tc>
                        <w:tc>
                          <w:tcPr>
                            <w:tcW w:w="149" w:type="dxa"/>
                            <w:tcBorders/>
                            <w:vAlign w:val="bottom"/>
                          </w:tcPr>
                          <w:p>
                            <w:pPr>
                              <w:pStyle w:val="TableContents"/>
                              <w:bidi w:val="0"/>
                              <w:spacing w:before="0" w:after="283"/>
                              <w:jc w:val="left"/>
                              <w:rPr/>
                            </w:pPr>
                            <w:r>
                              <w:rPr/>
                              <w:t> </w:t>
                            </w:r>
                          </w:p>
                        </w:tc>
                        <w:tc>
                          <w:tcPr>
                            <w:tcW w:w="2342" w:type="dxa"/>
                            <w:tcBorders/>
                          </w:tcPr>
                          <w:p>
                            <w:pPr>
                              <w:pStyle w:val="TableContents"/>
                              <w:bidi w:val="0"/>
                              <w:spacing w:before="0" w:after="283"/>
                              <w:jc w:val="left"/>
                              <w:rPr/>
                            </w:pPr>
                            <w:r>
                              <w:rPr/>
                              <w:t>The grantor*</w:t>
                            </w:r>
                          </w:p>
                        </w:tc>
                      </w:tr>
                      <w:tr>
                        <w:trPr/>
                        <w:tc>
                          <w:tcPr>
                            <w:tcW w:w="29" w:type="dxa"/>
                            <w:tcBorders/>
                          </w:tcPr>
                          <w:p>
                            <w:pPr>
                              <w:pStyle w:val="TableContents"/>
                              <w:bidi w:val="0"/>
                              <w:spacing w:before="0" w:after="283"/>
                              <w:jc w:val="left"/>
                              <w:rPr/>
                            </w:pPr>
                            <w:r>
                              <w:rPr/>
                              <w:t> </w:t>
                            </w:r>
                          </w:p>
                        </w:tc>
                        <w:tc>
                          <w:tcPr>
                            <w:tcW w:w="69" w:type="dxa"/>
                            <w:tcBorders/>
                          </w:tcPr>
                          <w:p>
                            <w:pPr>
                              <w:pStyle w:val="TableContents"/>
                              <w:bidi w:val="0"/>
                              <w:spacing w:before="0" w:after="283"/>
                              <w:jc w:val="right"/>
                              <w:rPr/>
                            </w:pPr>
                            <w:r>
                              <w:rPr/>
                              <w:t>8.</w:t>
                            </w:r>
                          </w:p>
                        </w:tc>
                        <w:tc>
                          <w:tcPr>
                            <w:tcW w:w="29" w:type="dxa"/>
                            <w:tcBorders/>
                          </w:tcPr>
                          <w:p>
                            <w:pPr>
                              <w:pStyle w:val="TableContents"/>
                              <w:bidi w:val="0"/>
                              <w:spacing w:before="0" w:after="283"/>
                              <w:jc w:val="left"/>
                              <w:rPr/>
                            </w:pPr>
                            <w:r>
                              <w:rPr/>
                              <w:t> </w:t>
                            </w:r>
                          </w:p>
                        </w:tc>
                        <w:tc>
                          <w:tcPr>
                            <w:tcW w:w="30" w:type="dxa"/>
                            <w:tcBorders/>
                            <w:vAlign w:val="bottom"/>
                          </w:tcPr>
                          <w:p>
                            <w:pPr>
                              <w:pStyle w:val="TableContents"/>
                              <w:bidi w:val="0"/>
                              <w:spacing w:before="0" w:after="283"/>
                              <w:jc w:val="left"/>
                              <w:rPr/>
                            </w:pPr>
                            <w:r>
                              <w:rPr/>
                              <w:t> </w:t>
                            </w:r>
                          </w:p>
                        </w:tc>
                        <w:tc>
                          <w:tcPr>
                            <w:tcW w:w="2352" w:type="dxa"/>
                            <w:tcBorders/>
                          </w:tcPr>
                          <w:p>
                            <w:pPr>
                              <w:pStyle w:val="TableContents"/>
                              <w:bidi w:val="0"/>
                              <w:spacing w:before="0" w:after="283"/>
                              <w:jc w:val="left"/>
                              <w:rPr/>
                            </w:pPr>
                            <w:r>
                              <w:rPr/>
                              <w:t>Disregarded entity not owned by an individual</w:t>
                            </w:r>
                          </w:p>
                        </w:tc>
                        <w:tc>
                          <w:tcPr>
                            <w:tcW w:w="149" w:type="dxa"/>
                            <w:tcBorders/>
                            <w:vAlign w:val="bottom"/>
                          </w:tcPr>
                          <w:p>
                            <w:pPr>
                              <w:pStyle w:val="TableContents"/>
                              <w:bidi w:val="0"/>
                              <w:spacing w:before="0" w:after="283"/>
                              <w:jc w:val="left"/>
                              <w:rPr/>
                            </w:pPr>
                            <w:r>
                              <w:rPr/>
                              <w:t> </w:t>
                            </w:r>
                          </w:p>
                        </w:tc>
                        <w:tc>
                          <w:tcPr>
                            <w:tcW w:w="2342" w:type="dxa"/>
                            <w:tcBorders/>
                          </w:tcPr>
                          <w:p>
                            <w:pPr>
                              <w:pStyle w:val="TableContents"/>
                              <w:bidi w:val="0"/>
                              <w:spacing w:before="0" w:after="283"/>
                              <w:jc w:val="left"/>
                              <w:rPr/>
                            </w:pPr>
                            <w:r>
                              <w:rPr/>
                              <w:t>The owner</w:t>
                            </w:r>
                          </w:p>
                        </w:tc>
                      </w:tr>
                    </w:tbl>
                    <w:tbl>
                      <w:tblPr>
                        <w:tblW w:w="5000" w:type="pct"/>
                        <w:jc w:val="center"/>
                        <w:tblInd w:w="0" w:type="dxa"/>
                        <w:tblLayout w:type="fixed"/>
                        <w:tblCellMar>
                          <w:top w:w="0" w:type="dxa"/>
                          <w:left w:w="0" w:type="dxa"/>
                          <w:bottom w:w="0" w:type="dxa"/>
                          <w:right w:w="0" w:type="dxa"/>
                        </w:tblCellMar>
                      </w:tblPr>
                      <w:tblGrid>
                        <w:gridCol w:w="29"/>
                        <w:gridCol w:w="150"/>
                        <w:gridCol w:w="30"/>
                        <w:gridCol w:w="29"/>
                        <w:gridCol w:w="2256"/>
                        <w:gridCol w:w="150"/>
                        <w:gridCol w:w="2356"/>
                      </w:tblGrid>
                      <w:tr>
                        <w:trPr/>
                        <w:tc>
                          <w:tcPr>
                            <w:tcW w:w="2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0" w:type="dxa"/>
                            <w:tcBorders/>
                            <w:vAlign w:val="bottom"/>
                          </w:tcPr>
                          <w:p>
                            <w:pPr>
                              <w:pStyle w:val="TableContents"/>
                              <w:bidi w:val="0"/>
                              <w:spacing w:before="0" w:after="283"/>
                              <w:jc w:val="left"/>
                              <w:rPr>
                                <w:sz w:val="4"/>
                                <w:szCs w:val="4"/>
                              </w:rPr>
                            </w:pPr>
                            <w:r>
                              <w:rPr>
                                <w:sz w:val="4"/>
                                <w:szCs w:val="4"/>
                              </w:rPr>
                            </w:r>
                          </w:p>
                        </w:tc>
                        <w:tc>
                          <w:tcPr>
                            <w:tcW w:w="29" w:type="dxa"/>
                            <w:tcBorders/>
                            <w:vAlign w:val="bottom"/>
                          </w:tcPr>
                          <w:p>
                            <w:pPr>
                              <w:pStyle w:val="TableContents"/>
                              <w:bidi w:val="0"/>
                              <w:spacing w:before="0" w:after="283"/>
                              <w:jc w:val="left"/>
                              <w:rPr>
                                <w:sz w:val="4"/>
                                <w:szCs w:val="4"/>
                              </w:rPr>
                            </w:pPr>
                            <w:r>
                              <w:rPr>
                                <w:sz w:val="4"/>
                                <w:szCs w:val="4"/>
                              </w:rPr>
                            </w:r>
                          </w:p>
                        </w:tc>
                        <w:tc>
                          <w:tcPr>
                            <w:tcW w:w="2256"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209" w:type="dxa"/>
                            <w:gridSpan w:val="3"/>
                            <w:tcBorders>
                              <w:top w:val="single" w:sz="2" w:space="0" w:color="000000"/>
                            </w:tcBorders>
                            <w:tcMar>
                              <w:top w:w="28" w:type="dxa"/>
                            </w:tcMar>
                            <w:vAlign w:val="center"/>
                          </w:tcPr>
                          <w:p>
                            <w:pPr>
                              <w:pStyle w:val="TableContents"/>
                              <w:bidi w:val="0"/>
                              <w:spacing w:before="0" w:after="283"/>
                              <w:jc w:val="left"/>
                              <w:rPr/>
                            </w:pPr>
                            <w:r>
                              <w:rPr/>
                              <w:t> </w:t>
                            </w:r>
                          </w:p>
                        </w:tc>
                        <w:tc>
                          <w:tcPr>
                            <w:tcW w:w="2285" w:type="dxa"/>
                            <w:gridSpan w:val="2"/>
                            <w:tcBorders>
                              <w:top w:val="single" w:sz="2" w:space="0" w:color="000000"/>
                            </w:tcBorders>
                            <w:tcMar>
                              <w:top w:w="28" w:type="dxa"/>
                            </w:tcMar>
                            <w:vAlign w:val="center"/>
                          </w:tcPr>
                          <w:p>
                            <w:pPr>
                              <w:pStyle w:val="TableContents"/>
                              <w:bidi w:val="0"/>
                              <w:spacing w:before="0" w:after="283"/>
                              <w:jc w:val="left"/>
                              <w:rPr/>
                            </w:pPr>
                            <w:r>
                              <w:rPr/>
                              <w:t> </w:t>
                            </w:r>
                          </w:p>
                        </w:tc>
                        <w:tc>
                          <w:tcPr>
                            <w:tcW w:w="2506" w:type="dxa"/>
                            <w:gridSpan w:val="2"/>
                            <w:tcBorders>
                              <w:top w:val="single" w:sz="2" w:space="0" w:color="000000"/>
                            </w:tcBorders>
                            <w:tcMar>
                              <w:top w:w="28" w:type="dxa"/>
                            </w:tcMar>
                            <w:vAlign w:val="center"/>
                          </w:tcPr>
                          <w:p>
                            <w:pPr>
                              <w:pStyle w:val="TableContents"/>
                              <w:bidi w:val="0"/>
                              <w:spacing w:before="0" w:after="283"/>
                              <w:jc w:val="left"/>
                              <w:rPr/>
                            </w:pPr>
                            <w:r>
                              <w:rPr/>
                              <w:t> </w:t>
                            </w:r>
                          </w:p>
                        </w:tc>
                      </w:tr>
                      <w:tr>
                        <w:trPr/>
                        <w:tc>
                          <w:tcPr>
                            <w:tcW w:w="179" w:type="dxa"/>
                            <w:gridSpan w:val="2"/>
                            <w:tcBorders>
                              <w:bottom w:val="single" w:sz="2" w:space="0" w:color="000000"/>
                            </w:tcBorders>
                            <w:tcMar>
                              <w:bottom w:w="28" w:type="dxa"/>
                            </w:tcMar>
                            <w:vAlign w:val="bottom"/>
                          </w:tcPr>
                          <w:p>
                            <w:pPr>
                              <w:pStyle w:val="TableContents"/>
                              <w:bidi w:val="0"/>
                              <w:spacing w:before="0" w:after="283"/>
                              <w:jc w:val="left"/>
                              <w:rPr/>
                            </w:pPr>
                            <w:r>
                              <w:rPr/>
                              <w:t>  </w:t>
                            </w:r>
                          </w:p>
                        </w:tc>
                        <w:tc>
                          <w:tcPr>
                            <w:tcW w:w="30" w:type="dxa"/>
                            <w:tcBorders>
                              <w:bottom w:val="single" w:sz="2" w:space="0" w:color="000000"/>
                            </w:tcBorders>
                            <w:tcMar>
                              <w:bottom w:w="28" w:type="dxa"/>
                            </w:tcMar>
                            <w:vAlign w:val="bottom"/>
                          </w:tcPr>
                          <w:p>
                            <w:pPr>
                              <w:pStyle w:val="TableContents"/>
                              <w:bidi w:val="0"/>
                              <w:spacing w:before="0" w:after="283"/>
                              <w:jc w:val="left"/>
                              <w:rPr/>
                            </w:pPr>
                            <w:r>
                              <w:rPr/>
                              <w:t> </w:t>
                            </w:r>
                          </w:p>
                        </w:tc>
                        <w:tc>
                          <w:tcPr>
                            <w:tcW w:w="29" w:type="dxa"/>
                            <w:tcBorders>
                              <w:bottom w:val="single" w:sz="2" w:space="0" w:color="000000"/>
                            </w:tcBorders>
                            <w:tcMar>
                              <w:bottom w:w="28" w:type="dxa"/>
                            </w:tcMar>
                            <w:vAlign w:val="bottom"/>
                          </w:tcPr>
                          <w:p>
                            <w:pPr>
                              <w:pStyle w:val="TableContents"/>
                              <w:bidi w:val="0"/>
                              <w:spacing w:before="0" w:after="283"/>
                              <w:jc w:val="left"/>
                              <w:rPr/>
                            </w:pPr>
                            <w:r>
                              <w:rPr/>
                              <w:t> </w:t>
                            </w:r>
                          </w:p>
                        </w:tc>
                        <w:tc>
                          <w:tcPr>
                            <w:tcW w:w="2256" w:type="dxa"/>
                            <w:tcBorders>
                              <w:bottom w:val="single" w:sz="2" w:space="0" w:color="000000"/>
                            </w:tcBorders>
                            <w:tcMar>
                              <w:bottom w:w="28" w:type="dxa"/>
                            </w:tcMar>
                            <w:vAlign w:val="bottom"/>
                          </w:tcPr>
                          <w:p>
                            <w:pPr>
                              <w:pStyle w:val="TableContents"/>
                              <w:bidi w:val="0"/>
                              <w:spacing w:before="0" w:after="283"/>
                              <w:jc w:val="center"/>
                              <w:rPr>
                                <w:b/>
                              </w:rPr>
                            </w:pPr>
                            <w:r>
                              <w:rPr>
                                <w:b/>
                              </w:rPr>
                              <w:t>For this type of account:</w:t>
                            </w:r>
                          </w:p>
                        </w:tc>
                        <w:tc>
                          <w:tcPr>
                            <w:tcW w:w="150" w:type="dxa"/>
                            <w:tcBorders>
                              <w:bottom w:val="single" w:sz="2" w:space="0" w:color="000000"/>
                            </w:tcBorders>
                            <w:tcMar>
                              <w:bottom w:w="28" w:type="dxa"/>
                            </w:tcMar>
                            <w:vAlign w:val="bottom"/>
                          </w:tcPr>
                          <w:p>
                            <w:pPr>
                              <w:pStyle w:val="TableContents"/>
                              <w:bidi w:val="0"/>
                              <w:spacing w:before="0" w:after="283"/>
                              <w:jc w:val="left"/>
                              <w:rPr/>
                            </w:pPr>
                            <w:r>
                              <w:rPr/>
                              <w:t> </w:t>
                            </w:r>
                          </w:p>
                        </w:tc>
                        <w:tc>
                          <w:tcPr>
                            <w:tcW w:w="2356" w:type="dxa"/>
                            <w:tcBorders>
                              <w:bottom w:val="single" w:sz="2" w:space="0" w:color="000000"/>
                            </w:tcBorders>
                            <w:tcMar>
                              <w:bottom w:w="28" w:type="dxa"/>
                            </w:tcMar>
                            <w:vAlign w:val="bottom"/>
                          </w:tcPr>
                          <w:p>
                            <w:pPr>
                              <w:pStyle w:val="TableContents"/>
                              <w:bidi w:val="0"/>
                              <w:spacing w:before="0" w:after="283"/>
                              <w:jc w:val="center"/>
                              <w:rPr>
                                <w:b/>
                              </w:rPr>
                            </w:pPr>
                            <w:r>
                              <w:rPr>
                                <w:b/>
                              </w:rPr>
                              <w:t>Give name and EIN of:</w:t>
                            </w:r>
                          </w:p>
                        </w:tc>
                      </w:tr>
                      <w:tr>
                        <w:trPr>
                          <w:trHeight w:val="30" w:hRule="atLeast"/>
                        </w:trPr>
                        <w:tc>
                          <w:tcPr>
                            <w:tcW w:w="209" w:type="dxa"/>
                            <w:gridSpan w:val="3"/>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c>
                          <w:tcPr>
                            <w:tcW w:w="2506" w:type="dxa"/>
                            <w:gridSpan w:val="2"/>
                            <w:tcBorders/>
                            <w:vAlign w:val="center"/>
                          </w:tcPr>
                          <w:p>
                            <w:pPr>
                              <w:pStyle w:val="TableContents"/>
                              <w:bidi w:val="0"/>
                              <w:spacing w:before="0" w:after="283"/>
                              <w:jc w:val="left"/>
                              <w:rPr>
                                <w:sz w:val="4"/>
                                <w:szCs w:val="4"/>
                              </w:rPr>
                            </w:pPr>
                            <w:r>
                              <w:rPr>
                                <w:sz w:val="4"/>
                                <w:szCs w:val="4"/>
                              </w:rPr>
                            </w:r>
                          </w:p>
                        </w:tc>
                      </w:tr>
                      <w:tr>
                        <w:trPr/>
                        <w:tc>
                          <w:tcPr>
                            <w:tcW w:w="29" w:type="dxa"/>
                            <w:tcBorders/>
                          </w:tcPr>
                          <w:p>
                            <w:pPr>
                              <w:pStyle w:val="TableContents"/>
                              <w:bidi w:val="0"/>
                              <w:spacing w:before="0" w:after="283"/>
                              <w:jc w:val="left"/>
                              <w:rPr/>
                            </w:pPr>
                            <w:r>
                              <w:rPr/>
                              <w:t> </w:t>
                            </w:r>
                          </w:p>
                        </w:tc>
                        <w:tc>
                          <w:tcPr>
                            <w:tcW w:w="150" w:type="dxa"/>
                            <w:tcBorders/>
                          </w:tcPr>
                          <w:p>
                            <w:pPr>
                              <w:pStyle w:val="TableContents"/>
                              <w:bidi w:val="0"/>
                              <w:spacing w:before="0" w:after="283"/>
                              <w:jc w:val="right"/>
                              <w:rPr/>
                            </w:pPr>
                            <w:r>
                              <w:rPr/>
                              <w:t>9.</w:t>
                            </w:r>
                          </w:p>
                        </w:tc>
                        <w:tc>
                          <w:tcPr>
                            <w:tcW w:w="30" w:type="dxa"/>
                            <w:tcBorders/>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56" w:type="dxa"/>
                            <w:tcBorders/>
                          </w:tcPr>
                          <w:p>
                            <w:pPr>
                              <w:pStyle w:val="TableContents"/>
                              <w:bidi w:val="0"/>
                              <w:spacing w:before="0" w:after="283"/>
                              <w:jc w:val="left"/>
                              <w:rPr/>
                            </w:pPr>
                            <w:r>
                              <w:rPr/>
                              <w:t>A valid trust, estate, or pension trust</w:t>
                            </w:r>
                          </w:p>
                        </w:tc>
                        <w:tc>
                          <w:tcPr>
                            <w:tcW w:w="150" w:type="dxa"/>
                            <w:tcBorders/>
                            <w:vAlign w:val="bottom"/>
                          </w:tcPr>
                          <w:p>
                            <w:pPr>
                              <w:pStyle w:val="TableContents"/>
                              <w:bidi w:val="0"/>
                              <w:spacing w:before="0" w:after="283"/>
                              <w:jc w:val="left"/>
                              <w:rPr/>
                            </w:pPr>
                            <w:r>
                              <w:rPr/>
                              <w:t> </w:t>
                            </w:r>
                          </w:p>
                        </w:tc>
                        <w:tc>
                          <w:tcPr>
                            <w:tcW w:w="2356" w:type="dxa"/>
                            <w:tcBorders/>
                          </w:tcPr>
                          <w:p>
                            <w:pPr>
                              <w:pStyle w:val="TableContents"/>
                              <w:bidi w:val="0"/>
                              <w:spacing w:before="0" w:after="283"/>
                              <w:jc w:val="left"/>
                              <w:rPr/>
                            </w:pPr>
                            <w:r>
                              <w:rPr/>
                              <w:t>Legal entity</w:t>
                            </w:r>
                          </w:p>
                        </w:tc>
                      </w:tr>
                      <w:tr>
                        <w:trPr>
                          <w:trHeight w:val="30" w:hRule="atLeast"/>
                        </w:trPr>
                        <w:tc>
                          <w:tcPr>
                            <w:tcW w:w="209" w:type="dxa"/>
                            <w:gridSpan w:val="3"/>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c>
                          <w:tcPr>
                            <w:tcW w:w="2506" w:type="dxa"/>
                            <w:gridSpan w:val="2"/>
                            <w:tcBorders/>
                            <w:vAlign w:val="center"/>
                          </w:tcPr>
                          <w:p>
                            <w:pPr>
                              <w:pStyle w:val="TableContents"/>
                              <w:bidi w:val="0"/>
                              <w:spacing w:before="0" w:after="283"/>
                              <w:jc w:val="left"/>
                              <w:rPr>
                                <w:sz w:val="4"/>
                                <w:szCs w:val="4"/>
                              </w:rPr>
                            </w:pPr>
                            <w:r>
                              <w:rPr>
                                <w:sz w:val="4"/>
                                <w:szCs w:val="4"/>
                              </w:rPr>
                            </w:r>
                          </w:p>
                        </w:tc>
                      </w:tr>
                      <w:tr>
                        <w:trPr/>
                        <w:tc>
                          <w:tcPr>
                            <w:tcW w:w="29" w:type="dxa"/>
                            <w:tcBorders/>
                          </w:tcPr>
                          <w:p>
                            <w:pPr>
                              <w:pStyle w:val="TableContents"/>
                              <w:bidi w:val="0"/>
                              <w:spacing w:before="0" w:after="283"/>
                              <w:jc w:val="left"/>
                              <w:rPr/>
                            </w:pPr>
                            <w:r>
                              <w:rPr/>
                              <w:t> </w:t>
                            </w:r>
                          </w:p>
                        </w:tc>
                        <w:tc>
                          <w:tcPr>
                            <w:tcW w:w="150" w:type="dxa"/>
                            <w:tcBorders/>
                          </w:tcPr>
                          <w:p>
                            <w:pPr>
                              <w:pStyle w:val="TableContents"/>
                              <w:bidi w:val="0"/>
                              <w:spacing w:before="0" w:after="283"/>
                              <w:jc w:val="right"/>
                              <w:rPr/>
                            </w:pPr>
                            <w:r>
                              <w:rPr/>
                              <w:t>10.</w:t>
                            </w:r>
                          </w:p>
                        </w:tc>
                        <w:tc>
                          <w:tcPr>
                            <w:tcW w:w="30" w:type="dxa"/>
                            <w:tcBorders/>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56" w:type="dxa"/>
                            <w:tcBorders/>
                          </w:tcPr>
                          <w:p>
                            <w:pPr>
                              <w:pStyle w:val="TableContents"/>
                              <w:bidi w:val="0"/>
                              <w:spacing w:before="0" w:after="283"/>
                              <w:jc w:val="left"/>
                              <w:rPr/>
                            </w:pPr>
                            <w:r>
                              <w:rPr/>
                              <w:t>Corporation or LLC electing corporate status on Form 8832 or Form 2553</w:t>
                            </w:r>
                          </w:p>
                        </w:tc>
                        <w:tc>
                          <w:tcPr>
                            <w:tcW w:w="150" w:type="dxa"/>
                            <w:tcBorders/>
                            <w:vAlign w:val="bottom"/>
                          </w:tcPr>
                          <w:p>
                            <w:pPr>
                              <w:pStyle w:val="TableContents"/>
                              <w:bidi w:val="0"/>
                              <w:spacing w:before="0" w:after="283"/>
                              <w:jc w:val="left"/>
                              <w:rPr/>
                            </w:pPr>
                            <w:r>
                              <w:rPr/>
                              <w:t> </w:t>
                            </w:r>
                          </w:p>
                        </w:tc>
                        <w:tc>
                          <w:tcPr>
                            <w:tcW w:w="2356" w:type="dxa"/>
                            <w:tcBorders/>
                          </w:tcPr>
                          <w:p>
                            <w:pPr>
                              <w:pStyle w:val="TableContents"/>
                              <w:bidi w:val="0"/>
                              <w:spacing w:before="0" w:after="283"/>
                              <w:jc w:val="left"/>
                              <w:rPr/>
                            </w:pPr>
                            <w:r>
                              <w:rPr/>
                              <w:t>The corporation</w:t>
                            </w:r>
                          </w:p>
                        </w:tc>
                      </w:tr>
                      <w:tr>
                        <w:trPr>
                          <w:trHeight w:val="30" w:hRule="atLeast"/>
                        </w:trPr>
                        <w:tc>
                          <w:tcPr>
                            <w:tcW w:w="209" w:type="dxa"/>
                            <w:gridSpan w:val="3"/>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c>
                          <w:tcPr>
                            <w:tcW w:w="2506" w:type="dxa"/>
                            <w:gridSpan w:val="2"/>
                            <w:tcBorders/>
                            <w:vAlign w:val="center"/>
                          </w:tcPr>
                          <w:p>
                            <w:pPr>
                              <w:pStyle w:val="TableContents"/>
                              <w:bidi w:val="0"/>
                              <w:spacing w:before="0" w:after="283"/>
                              <w:jc w:val="left"/>
                              <w:rPr>
                                <w:sz w:val="4"/>
                                <w:szCs w:val="4"/>
                              </w:rPr>
                            </w:pPr>
                            <w:r>
                              <w:rPr>
                                <w:sz w:val="4"/>
                                <w:szCs w:val="4"/>
                              </w:rPr>
                            </w:r>
                          </w:p>
                        </w:tc>
                      </w:tr>
                      <w:tr>
                        <w:trPr/>
                        <w:tc>
                          <w:tcPr>
                            <w:tcW w:w="29" w:type="dxa"/>
                            <w:tcBorders/>
                          </w:tcPr>
                          <w:p>
                            <w:pPr>
                              <w:pStyle w:val="TableContents"/>
                              <w:bidi w:val="0"/>
                              <w:spacing w:before="0" w:after="283"/>
                              <w:jc w:val="left"/>
                              <w:rPr/>
                            </w:pPr>
                            <w:r>
                              <w:rPr/>
                              <w:t> </w:t>
                            </w:r>
                          </w:p>
                        </w:tc>
                        <w:tc>
                          <w:tcPr>
                            <w:tcW w:w="150" w:type="dxa"/>
                            <w:tcBorders/>
                          </w:tcPr>
                          <w:p>
                            <w:pPr>
                              <w:pStyle w:val="TableContents"/>
                              <w:bidi w:val="0"/>
                              <w:spacing w:before="0" w:after="283"/>
                              <w:jc w:val="right"/>
                              <w:rPr/>
                            </w:pPr>
                            <w:r>
                              <w:rPr/>
                              <w:t>11.</w:t>
                            </w:r>
                          </w:p>
                        </w:tc>
                        <w:tc>
                          <w:tcPr>
                            <w:tcW w:w="30" w:type="dxa"/>
                            <w:tcBorders/>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56" w:type="dxa"/>
                            <w:tcBorders/>
                          </w:tcPr>
                          <w:p>
                            <w:pPr>
                              <w:pStyle w:val="TableContents"/>
                              <w:bidi w:val="0"/>
                              <w:spacing w:before="0" w:after="283"/>
                              <w:jc w:val="left"/>
                              <w:rPr/>
                            </w:pPr>
                            <w:r>
                              <w:rPr/>
                              <w:t>Association, club, religious, charitable, educational, or other tax-exempt organization</w:t>
                            </w:r>
                          </w:p>
                        </w:tc>
                        <w:tc>
                          <w:tcPr>
                            <w:tcW w:w="150" w:type="dxa"/>
                            <w:tcBorders/>
                            <w:vAlign w:val="bottom"/>
                          </w:tcPr>
                          <w:p>
                            <w:pPr>
                              <w:pStyle w:val="TableContents"/>
                              <w:bidi w:val="0"/>
                              <w:spacing w:before="0" w:after="283"/>
                              <w:jc w:val="left"/>
                              <w:rPr/>
                            </w:pPr>
                            <w:r>
                              <w:rPr/>
                              <w:t> </w:t>
                            </w:r>
                          </w:p>
                        </w:tc>
                        <w:tc>
                          <w:tcPr>
                            <w:tcW w:w="2356" w:type="dxa"/>
                            <w:tcBorders/>
                          </w:tcPr>
                          <w:p>
                            <w:pPr>
                              <w:pStyle w:val="TableContents"/>
                              <w:bidi w:val="0"/>
                              <w:spacing w:before="0" w:after="283"/>
                              <w:jc w:val="left"/>
                              <w:rPr/>
                            </w:pPr>
                            <w:r>
                              <w:rPr/>
                              <w:t>The organization</w:t>
                            </w:r>
                          </w:p>
                        </w:tc>
                      </w:tr>
                      <w:tr>
                        <w:trPr>
                          <w:trHeight w:val="30" w:hRule="atLeast"/>
                        </w:trPr>
                        <w:tc>
                          <w:tcPr>
                            <w:tcW w:w="209" w:type="dxa"/>
                            <w:gridSpan w:val="3"/>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c>
                          <w:tcPr>
                            <w:tcW w:w="2506" w:type="dxa"/>
                            <w:gridSpan w:val="2"/>
                            <w:tcBorders/>
                            <w:vAlign w:val="center"/>
                          </w:tcPr>
                          <w:p>
                            <w:pPr>
                              <w:pStyle w:val="TableContents"/>
                              <w:bidi w:val="0"/>
                              <w:spacing w:before="0" w:after="283"/>
                              <w:jc w:val="left"/>
                              <w:rPr>
                                <w:sz w:val="4"/>
                                <w:szCs w:val="4"/>
                              </w:rPr>
                            </w:pPr>
                            <w:r>
                              <w:rPr>
                                <w:sz w:val="4"/>
                                <w:szCs w:val="4"/>
                              </w:rPr>
                            </w:r>
                          </w:p>
                        </w:tc>
                      </w:tr>
                      <w:tr>
                        <w:trPr/>
                        <w:tc>
                          <w:tcPr>
                            <w:tcW w:w="29" w:type="dxa"/>
                            <w:tcBorders/>
                          </w:tcPr>
                          <w:p>
                            <w:pPr>
                              <w:pStyle w:val="TableContents"/>
                              <w:bidi w:val="0"/>
                              <w:spacing w:before="0" w:after="283"/>
                              <w:jc w:val="left"/>
                              <w:rPr/>
                            </w:pPr>
                            <w:r>
                              <w:rPr/>
                              <w:t> </w:t>
                            </w:r>
                          </w:p>
                        </w:tc>
                        <w:tc>
                          <w:tcPr>
                            <w:tcW w:w="150" w:type="dxa"/>
                            <w:tcBorders/>
                          </w:tcPr>
                          <w:p>
                            <w:pPr>
                              <w:pStyle w:val="TableContents"/>
                              <w:bidi w:val="0"/>
                              <w:spacing w:before="0" w:after="283"/>
                              <w:jc w:val="right"/>
                              <w:rPr/>
                            </w:pPr>
                            <w:r>
                              <w:rPr/>
                              <w:t>12.</w:t>
                            </w:r>
                          </w:p>
                        </w:tc>
                        <w:tc>
                          <w:tcPr>
                            <w:tcW w:w="30" w:type="dxa"/>
                            <w:tcBorders/>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56" w:type="dxa"/>
                            <w:tcBorders/>
                          </w:tcPr>
                          <w:p>
                            <w:pPr>
                              <w:pStyle w:val="TableContents"/>
                              <w:bidi w:val="0"/>
                              <w:spacing w:before="0" w:after="283"/>
                              <w:jc w:val="left"/>
                              <w:rPr/>
                            </w:pPr>
                            <w:r>
                              <w:rPr/>
                              <w:t>Partnership or multi-member LLC</w:t>
                            </w:r>
                          </w:p>
                        </w:tc>
                        <w:tc>
                          <w:tcPr>
                            <w:tcW w:w="150" w:type="dxa"/>
                            <w:tcBorders/>
                            <w:vAlign w:val="bottom"/>
                          </w:tcPr>
                          <w:p>
                            <w:pPr>
                              <w:pStyle w:val="TableContents"/>
                              <w:bidi w:val="0"/>
                              <w:spacing w:before="0" w:after="283"/>
                              <w:jc w:val="left"/>
                              <w:rPr/>
                            </w:pPr>
                            <w:r>
                              <w:rPr/>
                              <w:t> </w:t>
                            </w:r>
                          </w:p>
                        </w:tc>
                        <w:tc>
                          <w:tcPr>
                            <w:tcW w:w="2356" w:type="dxa"/>
                            <w:tcBorders/>
                          </w:tcPr>
                          <w:p>
                            <w:pPr>
                              <w:pStyle w:val="TableContents"/>
                              <w:bidi w:val="0"/>
                              <w:spacing w:before="0" w:after="283"/>
                              <w:jc w:val="left"/>
                              <w:rPr/>
                            </w:pPr>
                            <w:r>
                              <w:rPr/>
                              <w:t>The partnership</w:t>
                            </w:r>
                          </w:p>
                        </w:tc>
                      </w:tr>
                      <w:tr>
                        <w:trPr>
                          <w:trHeight w:val="30" w:hRule="atLeast"/>
                        </w:trPr>
                        <w:tc>
                          <w:tcPr>
                            <w:tcW w:w="209" w:type="dxa"/>
                            <w:gridSpan w:val="3"/>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c>
                          <w:tcPr>
                            <w:tcW w:w="2506" w:type="dxa"/>
                            <w:gridSpan w:val="2"/>
                            <w:tcBorders/>
                            <w:vAlign w:val="center"/>
                          </w:tcPr>
                          <w:p>
                            <w:pPr>
                              <w:pStyle w:val="TableContents"/>
                              <w:bidi w:val="0"/>
                              <w:spacing w:before="0" w:after="283"/>
                              <w:jc w:val="left"/>
                              <w:rPr>
                                <w:sz w:val="4"/>
                                <w:szCs w:val="4"/>
                              </w:rPr>
                            </w:pPr>
                            <w:r>
                              <w:rPr>
                                <w:sz w:val="4"/>
                                <w:szCs w:val="4"/>
                              </w:rPr>
                            </w:r>
                          </w:p>
                        </w:tc>
                      </w:tr>
                      <w:tr>
                        <w:trPr/>
                        <w:tc>
                          <w:tcPr>
                            <w:tcW w:w="29" w:type="dxa"/>
                            <w:tcBorders/>
                          </w:tcPr>
                          <w:p>
                            <w:pPr>
                              <w:pStyle w:val="TableContents"/>
                              <w:bidi w:val="0"/>
                              <w:spacing w:before="0" w:after="283"/>
                              <w:jc w:val="left"/>
                              <w:rPr/>
                            </w:pPr>
                            <w:r>
                              <w:rPr/>
                              <w:t> </w:t>
                            </w:r>
                          </w:p>
                        </w:tc>
                        <w:tc>
                          <w:tcPr>
                            <w:tcW w:w="150" w:type="dxa"/>
                            <w:tcBorders/>
                          </w:tcPr>
                          <w:p>
                            <w:pPr>
                              <w:pStyle w:val="TableContents"/>
                              <w:bidi w:val="0"/>
                              <w:spacing w:before="0" w:after="283"/>
                              <w:jc w:val="right"/>
                              <w:rPr/>
                            </w:pPr>
                            <w:r>
                              <w:rPr/>
                              <w:t>13.</w:t>
                            </w:r>
                          </w:p>
                        </w:tc>
                        <w:tc>
                          <w:tcPr>
                            <w:tcW w:w="30" w:type="dxa"/>
                            <w:tcBorders/>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56" w:type="dxa"/>
                            <w:tcBorders/>
                          </w:tcPr>
                          <w:p>
                            <w:pPr>
                              <w:pStyle w:val="TableContents"/>
                              <w:bidi w:val="0"/>
                              <w:spacing w:before="0" w:after="283"/>
                              <w:jc w:val="left"/>
                              <w:rPr/>
                            </w:pPr>
                            <w:r>
                              <w:rPr/>
                              <w:t>A broker or registered nominee</w:t>
                            </w:r>
                          </w:p>
                        </w:tc>
                        <w:tc>
                          <w:tcPr>
                            <w:tcW w:w="150" w:type="dxa"/>
                            <w:tcBorders/>
                            <w:vAlign w:val="bottom"/>
                          </w:tcPr>
                          <w:p>
                            <w:pPr>
                              <w:pStyle w:val="TableContents"/>
                              <w:bidi w:val="0"/>
                              <w:spacing w:before="0" w:after="283"/>
                              <w:jc w:val="left"/>
                              <w:rPr/>
                            </w:pPr>
                            <w:r>
                              <w:rPr/>
                              <w:t> </w:t>
                            </w:r>
                          </w:p>
                        </w:tc>
                        <w:tc>
                          <w:tcPr>
                            <w:tcW w:w="2356" w:type="dxa"/>
                            <w:tcBorders/>
                          </w:tcPr>
                          <w:p>
                            <w:pPr>
                              <w:pStyle w:val="TableContents"/>
                              <w:bidi w:val="0"/>
                              <w:spacing w:before="0" w:after="283"/>
                              <w:jc w:val="left"/>
                              <w:rPr/>
                            </w:pPr>
                            <w:r>
                              <w:rPr/>
                              <w:t>The broker or nominee</w:t>
                            </w:r>
                          </w:p>
                        </w:tc>
                      </w:tr>
                      <w:tr>
                        <w:trPr>
                          <w:trHeight w:val="30" w:hRule="atLeast"/>
                        </w:trPr>
                        <w:tc>
                          <w:tcPr>
                            <w:tcW w:w="209" w:type="dxa"/>
                            <w:gridSpan w:val="3"/>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c>
                          <w:tcPr>
                            <w:tcW w:w="2506" w:type="dxa"/>
                            <w:gridSpan w:val="2"/>
                            <w:tcBorders/>
                            <w:vAlign w:val="center"/>
                          </w:tcPr>
                          <w:p>
                            <w:pPr>
                              <w:pStyle w:val="TableContents"/>
                              <w:bidi w:val="0"/>
                              <w:spacing w:before="0" w:after="283"/>
                              <w:jc w:val="left"/>
                              <w:rPr>
                                <w:sz w:val="4"/>
                                <w:szCs w:val="4"/>
                              </w:rPr>
                            </w:pPr>
                            <w:r>
                              <w:rPr>
                                <w:sz w:val="4"/>
                                <w:szCs w:val="4"/>
                              </w:rPr>
                            </w:r>
                          </w:p>
                        </w:tc>
                      </w:tr>
                      <w:tr>
                        <w:trPr/>
                        <w:tc>
                          <w:tcPr>
                            <w:tcW w:w="29" w:type="dxa"/>
                            <w:tcBorders/>
                          </w:tcPr>
                          <w:p>
                            <w:pPr>
                              <w:pStyle w:val="TableContents"/>
                              <w:bidi w:val="0"/>
                              <w:spacing w:before="0" w:after="283"/>
                              <w:jc w:val="left"/>
                              <w:rPr/>
                            </w:pPr>
                            <w:r>
                              <w:rPr/>
                              <w:t> </w:t>
                            </w:r>
                          </w:p>
                        </w:tc>
                        <w:tc>
                          <w:tcPr>
                            <w:tcW w:w="150" w:type="dxa"/>
                            <w:tcBorders/>
                          </w:tcPr>
                          <w:p>
                            <w:pPr>
                              <w:pStyle w:val="TableContents"/>
                              <w:bidi w:val="0"/>
                              <w:spacing w:before="0" w:after="283"/>
                              <w:jc w:val="right"/>
                              <w:rPr/>
                            </w:pPr>
                            <w:r>
                              <w:rPr/>
                              <w:t>14.</w:t>
                            </w:r>
                          </w:p>
                        </w:tc>
                        <w:tc>
                          <w:tcPr>
                            <w:tcW w:w="30" w:type="dxa"/>
                            <w:tcBorders/>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56" w:type="dxa"/>
                            <w:tcBorders/>
                          </w:tcPr>
                          <w:p>
                            <w:pPr>
                              <w:pStyle w:val="TableContents"/>
                              <w:bidi w:val="0"/>
                              <w:spacing w:before="0" w:after="283"/>
                              <w:jc w:val="left"/>
                              <w:rPr/>
                            </w:pPr>
                            <w:r>
                              <w:rPr/>
                              <w:t>Account with the Department of Agriculture in the name of a public entity (such as a state or local government, school district, or prison) that receives agricultural program payments</w:t>
                            </w:r>
                          </w:p>
                        </w:tc>
                        <w:tc>
                          <w:tcPr>
                            <w:tcW w:w="150" w:type="dxa"/>
                            <w:tcBorders/>
                            <w:vAlign w:val="bottom"/>
                          </w:tcPr>
                          <w:p>
                            <w:pPr>
                              <w:pStyle w:val="TableContents"/>
                              <w:bidi w:val="0"/>
                              <w:spacing w:before="0" w:after="283"/>
                              <w:jc w:val="left"/>
                              <w:rPr/>
                            </w:pPr>
                            <w:r>
                              <w:rPr/>
                              <w:t> </w:t>
                            </w:r>
                          </w:p>
                        </w:tc>
                        <w:tc>
                          <w:tcPr>
                            <w:tcW w:w="2356" w:type="dxa"/>
                            <w:tcBorders/>
                          </w:tcPr>
                          <w:p>
                            <w:pPr>
                              <w:pStyle w:val="TableContents"/>
                              <w:bidi w:val="0"/>
                              <w:spacing w:before="0" w:after="283"/>
                              <w:jc w:val="left"/>
                              <w:rPr/>
                            </w:pPr>
                            <w:r>
                              <w:rPr/>
                              <w:t>The public entity</w:t>
                            </w:r>
                          </w:p>
                        </w:tc>
                      </w:tr>
                      <w:tr>
                        <w:trPr>
                          <w:trHeight w:val="30" w:hRule="atLeast"/>
                        </w:trPr>
                        <w:tc>
                          <w:tcPr>
                            <w:tcW w:w="209" w:type="dxa"/>
                            <w:gridSpan w:val="3"/>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c>
                          <w:tcPr>
                            <w:tcW w:w="2506" w:type="dxa"/>
                            <w:gridSpan w:val="2"/>
                            <w:tcBorders/>
                            <w:vAlign w:val="center"/>
                          </w:tcPr>
                          <w:p>
                            <w:pPr>
                              <w:pStyle w:val="TableContents"/>
                              <w:bidi w:val="0"/>
                              <w:spacing w:before="0" w:after="283"/>
                              <w:jc w:val="left"/>
                              <w:rPr>
                                <w:sz w:val="4"/>
                                <w:szCs w:val="4"/>
                              </w:rPr>
                            </w:pPr>
                            <w:r>
                              <w:rPr>
                                <w:sz w:val="4"/>
                                <w:szCs w:val="4"/>
                              </w:rPr>
                            </w:r>
                          </w:p>
                        </w:tc>
                      </w:tr>
                      <w:tr>
                        <w:trPr/>
                        <w:tc>
                          <w:tcPr>
                            <w:tcW w:w="29" w:type="dxa"/>
                            <w:tcBorders>
                              <w:bottom w:val="single" w:sz="2" w:space="0" w:color="000000"/>
                            </w:tcBorders>
                            <w:tcMar>
                              <w:bottom w:w="28" w:type="dxa"/>
                            </w:tcMar>
                          </w:tcPr>
                          <w:p>
                            <w:pPr>
                              <w:pStyle w:val="TableContents"/>
                              <w:bidi w:val="0"/>
                              <w:spacing w:before="0" w:after="283"/>
                              <w:jc w:val="left"/>
                              <w:rPr/>
                            </w:pPr>
                            <w:r>
                              <w:rPr/>
                              <w:t> </w:t>
                            </w:r>
                          </w:p>
                        </w:tc>
                        <w:tc>
                          <w:tcPr>
                            <w:tcW w:w="150" w:type="dxa"/>
                            <w:tcBorders>
                              <w:bottom w:val="single" w:sz="2" w:space="0" w:color="000000"/>
                            </w:tcBorders>
                            <w:tcMar>
                              <w:bottom w:w="28" w:type="dxa"/>
                            </w:tcMar>
                          </w:tcPr>
                          <w:p>
                            <w:pPr>
                              <w:pStyle w:val="TableContents"/>
                              <w:bidi w:val="0"/>
                              <w:spacing w:before="0" w:after="283"/>
                              <w:jc w:val="right"/>
                              <w:rPr/>
                            </w:pPr>
                            <w:r>
                              <w:rPr/>
                              <w:t>15.</w:t>
                            </w:r>
                          </w:p>
                        </w:tc>
                        <w:tc>
                          <w:tcPr>
                            <w:tcW w:w="30" w:type="dxa"/>
                            <w:tcBorders>
                              <w:bottom w:val="single" w:sz="2" w:space="0" w:color="000000"/>
                            </w:tcBorders>
                            <w:tcMar>
                              <w:bottom w:w="28" w:type="dxa"/>
                            </w:tcMar>
                          </w:tcPr>
                          <w:p>
                            <w:pPr>
                              <w:pStyle w:val="TableContents"/>
                              <w:bidi w:val="0"/>
                              <w:spacing w:before="0" w:after="283"/>
                              <w:jc w:val="left"/>
                              <w:rPr/>
                            </w:pPr>
                            <w:r>
                              <w:rPr/>
                              <w:t> </w:t>
                            </w:r>
                          </w:p>
                        </w:tc>
                        <w:tc>
                          <w:tcPr>
                            <w:tcW w:w="29" w:type="dxa"/>
                            <w:tcBorders>
                              <w:bottom w:val="single" w:sz="2" w:space="0" w:color="000000"/>
                            </w:tcBorders>
                            <w:tcMar>
                              <w:bottom w:w="28" w:type="dxa"/>
                            </w:tcMar>
                            <w:vAlign w:val="bottom"/>
                          </w:tcPr>
                          <w:p>
                            <w:pPr>
                              <w:pStyle w:val="TableContents"/>
                              <w:bidi w:val="0"/>
                              <w:spacing w:before="0" w:after="283"/>
                              <w:jc w:val="left"/>
                              <w:rPr/>
                            </w:pPr>
                            <w:r>
                              <w:rPr/>
                              <w:t> </w:t>
                            </w:r>
                          </w:p>
                        </w:tc>
                        <w:tc>
                          <w:tcPr>
                            <w:tcW w:w="2256" w:type="dxa"/>
                            <w:tcBorders>
                              <w:bottom w:val="single" w:sz="2" w:space="0" w:color="000000"/>
                            </w:tcBorders>
                            <w:tcMar>
                              <w:bottom w:w="28" w:type="dxa"/>
                            </w:tcMar>
                          </w:tcPr>
                          <w:p>
                            <w:pPr>
                              <w:pStyle w:val="TableContents"/>
                              <w:bidi w:val="0"/>
                              <w:spacing w:before="0" w:after="283"/>
                              <w:jc w:val="left"/>
                              <w:rPr/>
                            </w:pPr>
                            <w:r>
                              <w:rPr/>
                              <w:t>Grantor trust filing Form 1041 or under the Optional Filing Method 2, requiring Form 1099 (see Regulations section 1.671-4(b)(2)(i)(B))**</w:t>
                            </w:r>
                          </w:p>
                        </w:tc>
                        <w:tc>
                          <w:tcPr>
                            <w:tcW w:w="150" w:type="dxa"/>
                            <w:tcBorders>
                              <w:bottom w:val="single" w:sz="2" w:space="0" w:color="000000"/>
                            </w:tcBorders>
                            <w:tcMar>
                              <w:bottom w:w="28" w:type="dxa"/>
                            </w:tcMar>
                            <w:vAlign w:val="bottom"/>
                          </w:tcPr>
                          <w:p>
                            <w:pPr>
                              <w:pStyle w:val="TableContents"/>
                              <w:bidi w:val="0"/>
                              <w:spacing w:before="0" w:after="283"/>
                              <w:jc w:val="left"/>
                              <w:rPr/>
                            </w:pPr>
                            <w:r>
                              <w:rPr/>
                              <w:t> </w:t>
                            </w:r>
                          </w:p>
                        </w:tc>
                        <w:tc>
                          <w:tcPr>
                            <w:tcW w:w="2356" w:type="dxa"/>
                            <w:tcBorders>
                              <w:bottom w:val="single" w:sz="2" w:space="0" w:color="000000"/>
                            </w:tcBorders>
                            <w:tcMar>
                              <w:bottom w:w="28" w:type="dxa"/>
                            </w:tcMar>
                          </w:tcPr>
                          <w:p>
                            <w:pPr>
                              <w:pStyle w:val="TableContents"/>
                              <w:bidi w:val="0"/>
                              <w:spacing w:before="0" w:after="283"/>
                              <w:jc w:val="left"/>
                              <w:rPr/>
                            </w:pPr>
                            <w:r>
                              <w:rPr/>
                              <w:t>The trust</w:t>
                            </w:r>
                          </w:p>
                        </w:tc>
                      </w:tr>
                    </w:tbl>
                    <w:p>
                      <w:pPr>
                        <w:pStyle w:val="TextBody"/>
                        <w:bidi w:val="0"/>
                        <w:spacing w:before="40" w:after="0"/>
                        <w:jc w:val="left"/>
                        <w:rPr>
                          <w:rFonts w:ascii="Times New Roman" w:hAnsi="Times New Roman"/>
                          <w:sz w:val="16"/>
                        </w:rPr>
                      </w:pPr>
                      <w:r>
                        <w:rPr>
                          <w:rFonts w:ascii="Times New Roman" w:hAnsi="Times New Roman"/>
                          <w:sz w:val="16"/>
                        </w:rPr>
                        <w:t xml:space="preserve">List first and circle the name of the person whose number you furnish. If only one person on a joint account has an SSN, that person’s number must be furnished. </w:t>
                      </w:r>
                    </w:p>
                    <w:p>
                      <w:pPr>
                        <w:pStyle w:val="TextBody"/>
                        <w:bidi w:val="0"/>
                        <w:spacing w:before="40" w:after="0"/>
                        <w:jc w:val="left"/>
                        <w:rPr>
                          <w:rFonts w:ascii="Times New Roman" w:hAnsi="Times New Roman"/>
                          <w:sz w:val="16"/>
                        </w:rPr>
                      </w:pPr>
                      <w:r>
                        <w:rPr>
                          <w:rFonts w:ascii="Times New Roman" w:hAnsi="Times New Roman"/>
                          <w:sz w:val="16"/>
                        </w:rPr>
                        <w:t xml:space="preserve">Circle the minor’s name and furnish the minor’s SSN. </w:t>
                      </w:r>
                    </w:p>
                    <w:p>
                      <w:pPr>
                        <w:pStyle w:val="TextBody"/>
                        <w:bidi w:val="0"/>
                        <w:spacing w:before="40" w:after="0"/>
                        <w:jc w:val="left"/>
                        <w:rPr>
                          <w:rFonts w:ascii="Times New Roman" w:hAnsi="Times New Roman"/>
                          <w:sz w:val="16"/>
                        </w:rPr>
                      </w:pPr>
                      <w:r>
                        <w:rPr>
                          <w:rFonts w:ascii="Times New Roman" w:hAnsi="Times New Roman"/>
                          <w:sz w:val="16"/>
                        </w:rPr>
                        <w:t xml:space="preserve">You must show your individual name on line 1, and enter your business or DBA name, if any, on line 2. You may use either your SSN or EIN (if you have one), but the IRS encourages you to use your SSN. </w:t>
                      </w:r>
                    </w:p>
                    <w:p>
                      <w:pPr>
                        <w:pStyle w:val="TextBody"/>
                        <w:bidi w:val="0"/>
                        <w:spacing w:before="40" w:after="0"/>
                        <w:jc w:val="left"/>
                        <w:rPr>
                          <w:rFonts w:ascii="Times New Roman" w:hAnsi="Times New Roman"/>
                          <w:sz w:val="16"/>
                        </w:rPr>
                      </w:pPr>
                      <w:r>
                        <w:rPr>
                          <w:rFonts w:ascii="Times New Roman" w:hAnsi="Times New Roman"/>
                          <w:sz w:val="16"/>
                        </w:rPr>
                        <w:t xml:space="preserve">List first and circle the name of the trust, estate, or pension trust. (Do not furnish the TIN of the personal representative or trustee unless the legal entity itself is not designated in the account title.) </w:t>
                      </w:r>
                    </w:p>
                    <w:p>
                      <w:pPr>
                        <w:pStyle w:val="TextBody"/>
                        <w:bidi w:val="0"/>
                        <w:spacing w:before="40" w:after="0"/>
                        <w:jc w:val="left"/>
                        <w:rPr>
                          <w:rFonts w:ascii="Times New Roman" w:hAnsi="Times New Roman"/>
                          <w:sz w:val="16"/>
                        </w:rPr>
                      </w:pPr>
                      <w:r>
                        <w:rPr>
                          <w:rFonts w:ascii="Times New Roman" w:hAnsi="Times New Roman"/>
                          <w:sz w:val="16"/>
                        </w:rPr>
                        <w:t xml:space="preserve">* </w:t>
                      </w:r>
                      <w:r>
                        <w:rPr>
                          <w:rFonts w:ascii="Times New Roman" w:hAnsi="Times New Roman"/>
                          <w:b/>
                          <w:sz w:val="16"/>
                        </w:rPr>
                        <w:t>Note:</w:t>
                      </w:r>
                      <w:r>
                        <w:rPr>
                          <w:rFonts w:ascii="Times New Roman" w:hAnsi="Times New Roman"/>
                          <w:sz w:val="16"/>
                        </w:rPr>
                        <w:t xml:space="preserve"> The grantor must also provide a Form W-9 to the trustee of the trust. </w:t>
                      </w:r>
                    </w:p>
                    <w:p>
                      <w:pPr>
                        <w:pStyle w:val="TextBody"/>
                        <w:bidi w:val="0"/>
                        <w:spacing w:before="40" w:after="0"/>
                        <w:jc w:val="left"/>
                        <w:rPr>
                          <w:rFonts w:ascii="Times New Roman" w:hAnsi="Times New Roman"/>
                          <w:sz w:val="16"/>
                        </w:rPr>
                      </w:pPr>
                      <w:r>
                        <w:rPr>
                          <w:rFonts w:ascii="Times New Roman" w:hAnsi="Times New Roman"/>
                          <w:sz w:val="16"/>
                        </w:rPr>
                        <w:t xml:space="preserve">** For more information on optional filing methods for grantor trusts, see the Instructions for Form 1041. </w:t>
                      </w:r>
                    </w:p>
                    <w:p>
                      <w:pPr>
                        <w:pStyle w:val="TextBody"/>
                        <w:bidi w:val="0"/>
                        <w:spacing w:before="40" w:after="0"/>
                        <w:jc w:val="left"/>
                        <w:rPr>
                          <w:rFonts w:ascii="Times New Roman" w:hAnsi="Times New Roman"/>
                          <w:sz w:val="16"/>
                        </w:rPr>
                      </w:pPr>
                      <w:r>
                        <w:rPr>
                          <w:rFonts w:ascii="Times New Roman" w:hAnsi="Times New Roman"/>
                          <w:b/>
                          <w:sz w:val="16"/>
                        </w:rPr>
                        <w:t>Note:</w:t>
                      </w:r>
                      <w:r>
                        <w:rPr>
                          <w:rFonts w:ascii="Times New Roman" w:hAnsi="Times New Roman"/>
                          <w:sz w:val="16"/>
                        </w:rPr>
                        <w:t xml:space="preserve"> If no name is circled when more than one name is listed, the number will be considered to be that of the first name listed. </w:t>
                      </w:r>
                    </w:p>
                    <w:p>
                      <w:pPr>
                        <w:pStyle w:val="TextBody"/>
                        <w:bidi w:val="0"/>
                        <w:spacing w:before="120" w:after="0"/>
                        <w:jc w:val="left"/>
                        <w:rPr>
                          <w:rFonts w:ascii="Times New Roman" w:hAnsi="Times New Roman"/>
                          <w:b/>
                          <w:sz w:val="24"/>
                        </w:rPr>
                      </w:pPr>
                      <w:r>
                        <w:rPr>
                          <w:rFonts w:ascii="Times New Roman" w:hAnsi="Times New Roman"/>
                          <w:b/>
                          <w:sz w:val="24"/>
                        </w:rPr>
                        <w:t xml:space="preserve">Secure Your Tax Records From Identity Theft </w:t>
                      </w:r>
                    </w:p>
                    <w:p>
                      <w:pPr>
                        <w:pStyle w:val="TextBody"/>
                        <w:bidi w:val="0"/>
                        <w:spacing w:before="40" w:after="0"/>
                        <w:jc w:val="left"/>
                        <w:rPr>
                          <w:rFonts w:ascii="Times New Roman" w:hAnsi="Times New Roman"/>
                          <w:sz w:val="16"/>
                        </w:rPr>
                      </w:pPr>
                      <w:r>
                        <w:rPr>
                          <w:rFonts w:ascii="Times New Roman" w:hAnsi="Times New Roman"/>
                          <w:sz w:val="16"/>
                        </w:rPr>
                        <w:t xml:space="preserve">Identity theft occurs when someone uses your personal information, such as your name, SSN, or other identifying information, without your permission to commit fraud or other crimes. An identity thief may use your SSN to get a job or may file a tax return using your SSN to receive a refund. </w:t>
                      </w:r>
                    </w:p>
                    <w:p>
                      <w:pPr>
                        <w:pStyle w:val="TextBody"/>
                        <w:bidi w:val="0"/>
                        <w:spacing w:before="40" w:after="0"/>
                        <w:jc w:val="left"/>
                        <w:rPr>
                          <w:rFonts w:ascii="Times New Roman" w:hAnsi="Times New Roman"/>
                          <w:sz w:val="16"/>
                        </w:rPr>
                      </w:pPr>
                      <w:r>
                        <w:rPr>
                          <w:rFonts w:ascii="Times New Roman" w:hAnsi="Times New Roman"/>
                          <w:sz w:val="16"/>
                        </w:rPr>
                        <w:t xml:space="preserve">To reduce your risk: </w:t>
                      </w:r>
                    </w:p>
                    <w:p>
                      <w:pPr>
                        <w:pStyle w:val="TextBody"/>
                        <w:bidi w:val="0"/>
                        <w:spacing w:before="40" w:after="0"/>
                        <w:jc w:val="left"/>
                        <w:rPr>
                          <w:rFonts w:ascii="Times New Roman" w:hAnsi="Times New Roman"/>
                          <w:sz w:val="16"/>
                        </w:rPr>
                      </w:pPr>
                      <w:r>
                        <w:rPr>
                          <w:rFonts w:ascii="Times New Roman" w:hAnsi="Times New Roman"/>
                          <w:sz w:val="16"/>
                        </w:rPr>
                        <w:t xml:space="preserve"> Protect your SSN, </w:t>
                      </w:r>
                    </w:p>
                    <w:p>
                      <w:pPr>
                        <w:pStyle w:val="TextBody"/>
                        <w:bidi w:val="0"/>
                        <w:spacing w:before="40" w:after="0"/>
                        <w:jc w:val="left"/>
                        <w:rPr>
                          <w:rFonts w:ascii="Times New Roman" w:hAnsi="Times New Roman"/>
                          <w:sz w:val="16"/>
                        </w:rPr>
                      </w:pPr>
                      <w:r>
                        <w:rPr>
                          <w:rFonts w:ascii="Times New Roman" w:hAnsi="Times New Roman"/>
                          <w:sz w:val="16"/>
                        </w:rPr>
                        <w:t xml:space="preserve"> Ensure your employer is protecting your SSN, and </w:t>
                      </w:r>
                    </w:p>
                    <w:p>
                      <w:pPr>
                        <w:pStyle w:val="TextBody"/>
                        <w:bidi w:val="0"/>
                        <w:spacing w:before="40" w:after="0"/>
                        <w:jc w:val="left"/>
                        <w:rPr>
                          <w:rFonts w:ascii="Times New Roman" w:hAnsi="Times New Roman"/>
                          <w:sz w:val="16"/>
                        </w:rPr>
                      </w:pPr>
                      <w:r>
                        <w:rPr>
                          <w:rFonts w:ascii="Times New Roman" w:hAnsi="Times New Roman"/>
                          <w:sz w:val="16"/>
                        </w:rPr>
                        <w:t xml:space="preserve"> Be careful when choosing a tax return preparer. </w:t>
                      </w:r>
                    </w:p>
                    <w:p>
                      <w:pPr>
                        <w:pStyle w:val="TextBody"/>
                        <w:bidi w:val="0"/>
                        <w:spacing w:before="40" w:after="0"/>
                        <w:jc w:val="left"/>
                        <w:rPr>
                          <w:rFonts w:ascii="Times New Roman" w:hAnsi="Times New Roman"/>
                          <w:sz w:val="16"/>
                        </w:rPr>
                      </w:pPr>
                      <w:r>
                        <w:rPr>
                          <w:rFonts w:ascii="Times New Roman" w:hAnsi="Times New Roman"/>
                          <w:sz w:val="16"/>
                        </w:rPr>
                        <w:t xml:space="preserve">If your tax records are affected by identity theft and you receive a notice from the IRS, respond right away to the name and phone number printed on the IRS notice or letter. </w:t>
                      </w:r>
                    </w:p>
                    <w:p>
                      <w:pPr>
                        <w:pStyle w:val="TextBody"/>
                        <w:bidi w:val="0"/>
                        <w:spacing w:before="40" w:after="0"/>
                        <w:jc w:val="left"/>
                        <w:rPr>
                          <w:rFonts w:ascii="Times New Roman" w:hAnsi="Times New Roman"/>
                          <w:sz w:val="16"/>
                        </w:rPr>
                      </w:pPr>
                      <w:r>
                        <w:rPr>
                          <w:rFonts w:ascii="Times New Roman" w:hAnsi="Times New Roman"/>
                          <w:sz w:val="16"/>
                        </w:rPr>
                        <w:t xml:space="preserve">If your tax records are not currently affected by identity theft but you think you are at risk due to a lost or stolen purse or wallet, questionable credit card activity, or a questionable credit report, contact the IRS Identity Theft Hotline at 800-908-4490 or submit Form 14039. </w:t>
                      </w:r>
                    </w:p>
                    <w:p>
                      <w:pPr>
                        <w:pStyle w:val="TextBody"/>
                        <w:bidi w:val="0"/>
                        <w:spacing w:before="40" w:after="0"/>
                        <w:jc w:val="left"/>
                        <w:rPr>
                          <w:rFonts w:ascii="Times New Roman" w:hAnsi="Times New Roman"/>
                          <w:sz w:val="16"/>
                        </w:rPr>
                      </w:pPr>
                      <w:r>
                        <w:rPr>
                          <w:rFonts w:ascii="Times New Roman" w:hAnsi="Times New Roman"/>
                          <w:sz w:val="16"/>
                        </w:rPr>
                        <w:t xml:space="preserve">For more information, see Pub. 5027, Identity Theft Information for Taxpayers. </w:t>
                      </w:r>
                    </w:p>
                    <w:p>
                      <w:pPr>
                        <w:pStyle w:val="TextBody"/>
                        <w:bidi w:val="0"/>
                        <w:spacing w:before="40" w:after="0"/>
                        <w:jc w:val="left"/>
                        <w:rPr>
                          <w:rFonts w:ascii="Times New Roman" w:hAnsi="Times New Roman"/>
                          <w:sz w:val="16"/>
                        </w:rPr>
                      </w:pPr>
                      <w:r>
                        <w:rPr>
                          <w:rFonts w:ascii="Times New Roman" w:hAnsi="Times New Roman"/>
                          <w:sz w:val="16"/>
                        </w:rPr>
                        <w:t xml:space="preserve">Victims of identity theft who are experiencing economic harm or a systemic problem, or are seeking help in resolving tax problems that have not been resolved through normal channels, may be eligible for Taxpayer </w:t>
                      </w:r>
                    </w:p>
                  </w:txbxContent>
                </v:textbox>
                <w10:wrap type="square" side="right"/>
              </v:rect>
            </w:pict>
          </mc:Fallback>
        </mc:AlternateContent>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779"/>
        <w:gridCol w:w="426"/>
      </w:tblGrid>
      <w:tr>
        <w:trPr/>
        <w:tc>
          <w:tcPr>
            <w:tcW w:w="9779" w:type="dxa"/>
            <w:tcBorders/>
          </w:tcPr>
          <w:p>
            <w:pPr>
              <w:pStyle w:val="TableContents"/>
              <w:bidi w:val="0"/>
              <w:spacing w:before="0" w:after="20"/>
              <w:jc w:val="left"/>
              <w:rPr>
                <w:rFonts w:ascii="Times New Roman" w:hAnsi="Times New Roman"/>
                <w:sz w:val="14"/>
              </w:rPr>
            </w:pPr>
            <w:r>
              <w:rPr>
                <w:rFonts w:ascii="Times New Roman" w:hAnsi="Times New Roman"/>
                <w:sz w:val="14"/>
              </w:rPr>
              <w:t xml:space="preserve">Form W-9 (Rev. 3-2024) </w:t>
            </w:r>
          </w:p>
        </w:tc>
        <w:tc>
          <w:tcPr>
            <w:tcW w:w="426" w:type="dxa"/>
            <w:tcBorders/>
          </w:tcPr>
          <w:p>
            <w:pPr>
              <w:pStyle w:val="TableContents"/>
              <w:bidi w:val="0"/>
              <w:spacing w:before="0" w:after="20"/>
              <w:jc w:val="right"/>
              <w:rPr>
                <w:rFonts w:ascii="Times New Roman" w:hAnsi="Times New Roman"/>
                <w:sz w:val="14"/>
              </w:rPr>
            </w:pPr>
            <w:r>
              <w:rPr>
                <w:rFonts w:ascii="Times New Roman" w:hAnsi="Times New Roman"/>
                <w:sz w:val="14"/>
              </w:rPr>
              <w:t>Page </w:t>
            </w:r>
            <w:r>
              <w:rPr>
                <w:rFonts w:ascii="Times New Roman" w:hAnsi="Times New Roman"/>
                <w:b/>
                <w:sz w:val="20"/>
              </w:rPr>
              <w:t>6</w:t>
            </w:r>
            <w:r>
              <w:rPr>
                <w:rFonts w:ascii="Times New Roman" w:hAnsi="Times New Roman"/>
                <w:sz w:val="14"/>
              </w:rPr>
              <w:t xml:space="preserve"> </w:t>
            </w:r>
          </w:p>
        </w:tc>
      </w:tr>
    </w:tbl>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jc w:val="left"/>
        <w:rPr/>
      </w:pPr>
      <w:r>
        <w:rPr/>
        <w:t> </w:t>
      </w:r>
      <w:r>
        <w:br w:type="page"/>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3110230" cy="2672080"/>
                <wp:effectExtent l="0" t="0" r="0" b="0"/>
                <wp:wrapSquare wrapText="right"/>
                <wp:docPr id="15" name="Frame11"/>
                <a:graphic xmlns:a="http://schemas.openxmlformats.org/drawingml/2006/main">
                  <a:graphicData uri="http://schemas.microsoft.com/office/word/2010/wordprocessingShape">
                    <wps:wsp>
                      <wps:cNvSpPr txBox="1"/>
                      <wps:spPr>
                        <a:xfrm>
                          <a:off x="0" y="0"/>
                          <a:ext cx="3110230" cy="2672080"/>
                        </a:xfrm>
                        <a:prstGeom prst="rect"/>
                        <a:solidFill>
                          <a:srgbClr val="FFFFFF"/>
                        </a:solidFill>
                      </wps:spPr>
                      <wps:txbx>
                        <w:txbxContent>
                          <w:p>
                            <w:pPr>
                              <w:pStyle w:val="TextBody"/>
                              <w:bidi w:val="0"/>
                              <w:spacing w:before="0" w:after="0"/>
                              <w:jc w:val="left"/>
                              <w:rPr>
                                <w:rFonts w:ascii="Times New Roman" w:hAnsi="Times New Roman"/>
                                <w:sz w:val="16"/>
                              </w:rPr>
                            </w:pPr>
                            <w:r>
                              <w:rPr>
                                <w:rFonts w:ascii="Times New Roman" w:hAnsi="Times New Roman"/>
                                <w:sz w:val="16"/>
                              </w:rPr>
                              <w:t>Advocate Service (TAS) assistance. You can reach TAS by calling the TAS toll-free case intake line at 877-777-4778 or TTY/TDD 800-829-4059.</w:t>
                            </w:r>
                          </w:p>
                          <w:p>
                            <w:pPr>
                              <w:pStyle w:val="TextBody"/>
                              <w:bidi w:val="0"/>
                              <w:spacing w:before="40" w:after="0"/>
                              <w:jc w:val="left"/>
                              <w:rPr>
                                <w:rFonts w:ascii="Times New Roman" w:hAnsi="Times New Roman"/>
                                <w:sz w:val="16"/>
                              </w:rPr>
                            </w:pPr>
                            <w:r>
                              <w:rPr>
                                <w:rFonts w:ascii="Times New Roman" w:hAnsi="Times New Roman"/>
                                <w:b/>
                                <w:sz w:val="16"/>
                              </w:rPr>
                              <w:t>Protect yourself from suspicious emails or phishing schemes.</w:t>
                            </w:r>
                            <w:r>
                              <w:rPr>
                                <w:rFonts w:ascii="Times New Roman" w:hAnsi="Times New Roman"/>
                                <w:sz w:val="16"/>
                              </w:rPr>
                              <w:t xml:space="preserve"> Phishing is the creation and use of email and websites designed to mimic legitimate business emails and websites. The most common act is sending an email to a user falsely claiming to be an established legitimate enterprise in an attempt to scam the user into surrendering private information that will be used for identity theft. </w:t>
                            </w:r>
                          </w:p>
                          <w:p>
                            <w:pPr>
                              <w:pStyle w:val="TextBody"/>
                              <w:bidi w:val="0"/>
                              <w:spacing w:before="40" w:after="0"/>
                              <w:jc w:val="left"/>
                              <w:rPr>
                                <w:rFonts w:ascii="Times New Roman" w:hAnsi="Times New Roman"/>
                                <w:sz w:val="16"/>
                              </w:rPr>
                            </w:pPr>
                            <w:r>
                              <w:rPr>
                                <w:rFonts w:ascii="Times New Roman" w:hAnsi="Times New Roman"/>
                                <w:sz w:val="16"/>
                              </w:rPr>
                              <w:t xml:space="preserve">The IRS does not initiate contacts with taxpayers via emails. Also, the IRS does not request personal detailed information through email or ask taxpayers for the PIN numbers, passwords, or similar secret access information for their credit card, bank, or other financial accounts. </w:t>
                            </w:r>
                          </w:p>
                          <w:p>
                            <w:pPr>
                              <w:pStyle w:val="TextBody"/>
                              <w:bidi w:val="0"/>
                              <w:spacing w:before="40" w:after="0"/>
                              <w:jc w:val="left"/>
                              <w:rPr>
                                <w:rFonts w:ascii="Times New Roman" w:hAnsi="Times New Roman"/>
                                <w:sz w:val="16"/>
                              </w:rPr>
                            </w:pPr>
                            <w:r>
                              <w:rPr>
                                <w:rFonts w:ascii="Times New Roman" w:hAnsi="Times New Roman"/>
                                <w:sz w:val="16"/>
                              </w:rPr>
                              <w:t xml:space="preserve">If you receive an unsolicited email claiming to be from the IRS, forward this message to </w:t>
                            </w:r>
                            <w:r>
                              <w:rPr>
                                <w:rFonts w:ascii="Times New Roman" w:hAnsi="Times New Roman"/>
                                <w:i/>
                                <w:sz w:val="16"/>
                              </w:rPr>
                              <w:t>phishing@irs.gov</w:t>
                            </w:r>
                            <w:r>
                              <w:rPr>
                                <w:rFonts w:ascii="Times New Roman" w:hAnsi="Times New Roman"/>
                                <w:sz w:val="16"/>
                              </w:rPr>
                              <w:t xml:space="preserve">. You may also report misuse of the IRS name, logo, or other IRS property to the Treasury Inspector General for Tax Administration (TIGTA) at 800-366-4484. You can forward suspicious emails to the Federal Trade Commission at </w:t>
                            </w:r>
                            <w:r>
                              <w:rPr>
                                <w:rFonts w:ascii="Times New Roman" w:hAnsi="Times New Roman"/>
                                <w:i/>
                                <w:sz w:val="16"/>
                              </w:rPr>
                              <w:t>spam@uce.gov</w:t>
                            </w:r>
                            <w:r>
                              <w:rPr>
                                <w:rFonts w:ascii="Times New Roman" w:hAnsi="Times New Roman"/>
                                <w:sz w:val="16"/>
                              </w:rPr>
                              <w:t xml:space="preserve"> or report them at </w:t>
                            </w:r>
                            <w:r>
                              <w:rPr>
                                <w:rFonts w:ascii="Times New Roman" w:hAnsi="Times New Roman"/>
                                <w:i/>
                                <w:sz w:val="16"/>
                              </w:rPr>
                              <w:t>www.ftc.gov/complaint</w:t>
                            </w:r>
                            <w:r>
                              <w:rPr>
                                <w:rFonts w:ascii="Times New Roman" w:hAnsi="Times New Roman"/>
                                <w:sz w:val="16"/>
                              </w:rPr>
                              <w:t xml:space="preserve">. You can contact the FTC at </w:t>
                            </w:r>
                            <w:r>
                              <w:rPr>
                                <w:rFonts w:ascii="Times New Roman" w:hAnsi="Times New Roman"/>
                                <w:i/>
                                <w:sz w:val="16"/>
                              </w:rPr>
                              <w:t>www.ftc.gov/idtheft</w:t>
                            </w:r>
                            <w:r>
                              <w:rPr>
                                <w:rFonts w:ascii="Times New Roman" w:hAnsi="Times New Roman"/>
                                <w:sz w:val="16"/>
                              </w:rPr>
                              <w:t xml:space="preserve"> or 877-IDTHEFT (877-438-4338). If you have been the victim of identity theft, see </w:t>
                            </w:r>
                            <w:r>
                              <w:rPr>
                                <w:rFonts w:ascii="Times New Roman" w:hAnsi="Times New Roman"/>
                                <w:i/>
                                <w:sz w:val="16"/>
                              </w:rPr>
                              <w:t>www.IdentityTheft.gov</w:t>
                            </w:r>
                            <w:r>
                              <w:rPr>
                                <w:rFonts w:ascii="Times New Roman" w:hAnsi="Times New Roman"/>
                                <w:sz w:val="16"/>
                              </w:rPr>
                              <w:t xml:space="preserve"> and Pub. 5027. </w:t>
                            </w:r>
                          </w:p>
                          <w:p>
                            <w:pPr>
                              <w:pStyle w:val="TextBody"/>
                              <w:bidi w:val="0"/>
                              <w:spacing w:before="40" w:after="0"/>
                              <w:jc w:val="left"/>
                              <w:rPr>
                                <w:rFonts w:ascii="Times New Roman" w:hAnsi="Times New Roman"/>
                                <w:sz w:val="16"/>
                              </w:rPr>
                            </w:pPr>
                            <w:r>
                              <w:rPr>
                                <w:rFonts w:ascii="Times New Roman" w:hAnsi="Times New Roman"/>
                                <w:sz w:val="16"/>
                              </w:rPr>
                              <w:t xml:space="preserve">Go to </w:t>
                            </w:r>
                            <w:r>
                              <w:rPr>
                                <w:rFonts w:ascii="Times New Roman" w:hAnsi="Times New Roman"/>
                                <w:i/>
                                <w:sz w:val="16"/>
                              </w:rPr>
                              <w:t>www.irs.gov/IdentityTheft</w:t>
                            </w:r>
                            <w:r>
                              <w:rPr>
                                <w:rFonts w:ascii="Times New Roman" w:hAnsi="Times New Roman"/>
                                <w:sz w:val="16"/>
                              </w:rPr>
                              <w:t xml:space="preserve"> to learn more about identity theft and how to reduce your risk.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10.4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Times New Roman" w:hAnsi="Times New Roman"/>
                          <w:sz w:val="16"/>
                        </w:rPr>
                      </w:pPr>
                      <w:r>
                        <w:rPr>
                          <w:rFonts w:ascii="Times New Roman" w:hAnsi="Times New Roman"/>
                          <w:sz w:val="16"/>
                        </w:rPr>
                        <w:t>Advocate Service (TAS) assistance. You can reach TAS by calling the TAS toll-free case intake line at 877-777-4778 or TTY/TDD 800-829-4059.</w:t>
                      </w:r>
                    </w:p>
                    <w:p>
                      <w:pPr>
                        <w:pStyle w:val="TextBody"/>
                        <w:bidi w:val="0"/>
                        <w:spacing w:before="40" w:after="0"/>
                        <w:jc w:val="left"/>
                        <w:rPr>
                          <w:rFonts w:ascii="Times New Roman" w:hAnsi="Times New Roman"/>
                          <w:sz w:val="16"/>
                        </w:rPr>
                      </w:pPr>
                      <w:r>
                        <w:rPr>
                          <w:rFonts w:ascii="Times New Roman" w:hAnsi="Times New Roman"/>
                          <w:b/>
                          <w:sz w:val="16"/>
                        </w:rPr>
                        <w:t>Protect yourself from suspicious emails or phishing schemes.</w:t>
                      </w:r>
                      <w:r>
                        <w:rPr>
                          <w:rFonts w:ascii="Times New Roman" w:hAnsi="Times New Roman"/>
                          <w:sz w:val="16"/>
                        </w:rPr>
                        <w:t xml:space="preserve"> Phishing is the creation and use of email and websites designed to mimic legitimate business emails and websites. The most common act is sending an email to a user falsely claiming to be an established legitimate enterprise in an attempt to scam the user into surrendering private information that will be used for identity theft. </w:t>
                      </w:r>
                    </w:p>
                    <w:p>
                      <w:pPr>
                        <w:pStyle w:val="TextBody"/>
                        <w:bidi w:val="0"/>
                        <w:spacing w:before="40" w:after="0"/>
                        <w:jc w:val="left"/>
                        <w:rPr>
                          <w:rFonts w:ascii="Times New Roman" w:hAnsi="Times New Roman"/>
                          <w:sz w:val="16"/>
                        </w:rPr>
                      </w:pPr>
                      <w:r>
                        <w:rPr>
                          <w:rFonts w:ascii="Times New Roman" w:hAnsi="Times New Roman"/>
                          <w:sz w:val="16"/>
                        </w:rPr>
                        <w:t xml:space="preserve">The IRS does not initiate contacts with taxpayers via emails. Also, the IRS does not request personal detailed information through email or ask taxpayers for the PIN numbers, passwords, or similar secret access information for their credit card, bank, or other financial accounts. </w:t>
                      </w:r>
                    </w:p>
                    <w:p>
                      <w:pPr>
                        <w:pStyle w:val="TextBody"/>
                        <w:bidi w:val="0"/>
                        <w:spacing w:before="40" w:after="0"/>
                        <w:jc w:val="left"/>
                        <w:rPr>
                          <w:rFonts w:ascii="Times New Roman" w:hAnsi="Times New Roman"/>
                          <w:sz w:val="16"/>
                        </w:rPr>
                      </w:pPr>
                      <w:r>
                        <w:rPr>
                          <w:rFonts w:ascii="Times New Roman" w:hAnsi="Times New Roman"/>
                          <w:sz w:val="16"/>
                        </w:rPr>
                        <w:t xml:space="preserve">If you receive an unsolicited email claiming to be from the IRS, forward this message to </w:t>
                      </w:r>
                      <w:r>
                        <w:rPr>
                          <w:rFonts w:ascii="Times New Roman" w:hAnsi="Times New Roman"/>
                          <w:i/>
                          <w:sz w:val="16"/>
                        </w:rPr>
                        <w:t>phishing@irs.gov</w:t>
                      </w:r>
                      <w:r>
                        <w:rPr>
                          <w:rFonts w:ascii="Times New Roman" w:hAnsi="Times New Roman"/>
                          <w:sz w:val="16"/>
                        </w:rPr>
                        <w:t xml:space="preserve">. You may also report misuse of the IRS name, logo, or other IRS property to the Treasury Inspector General for Tax Administration (TIGTA) at 800-366-4484. You can forward suspicious emails to the Federal Trade Commission at </w:t>
                      </w:r>
                      <w:r>
                        <w:rPr>
                          <w:rFonts w:ascii="Times New Roman" w:hAnsi="Times New Roman"/>
                          <w:i/>
                          <w:sz w:val="16"/>
                        </w:rPr>
                        <w:t>spam@uce.gov</w:t>
                      </w:r>
                      <w:r>
                        <w:rPr>
                          <w:rFonts w:ascii="Times New Roman" w:hAnsi="Times New Roman"/>
                          <w:sz w:val="16"/>
                        </w:rPr>
                        <w:t xml:space="preserve"> or report them at </w:t>
                      </w:r>
                      <w:r>
                        <w:rPr>
                          <w:rFonts w:ascii="Times New Roman" w:hAnsi="Times New Roman"/>
                          <w:i/>
                          <w:sz w:val="16"/>
                        </w:rPr>
                        <w:t>www.ftc.gov/complaint</w:t>
                      </w:r>
                      <w:r>
                        <w:rPr>
                          <w:rFonts w:ascii="Times New Roman" w:hAnsi="Times New Roman"/>
                          <w:sz w:val="16"/>
                        </w:rPr>
                        <w:t xml:space="preserve">. You can contact the FTC at </w:t>
                      </w:r>
                      <w:r>
                        <w:rPr>
                          <w:rFonts w:ascii="Times New Roman" w:hAnsi="Times New Roman"/>
                          <w:i/>
                          <w:sz w:val="16"/>
                        </w:rPr>
                        <w:t>www.ftc.gov/idtheft</w:t>
                      </w:r>
                      <w:r>
                        <w:rPr>
                          <w:rFonts w:ascii="Times New Roman" w:hAnsi="Times New Roman"/>
                          <w:sz w:val="16"/>
                        </w:rPr>
                        <w:t xml:space="preserve"> or 877-IDTHEFT (877-438-4338). If you have been the victim of identity theft, see </w:t>
                      </w:r>
                      <w:r>
                        <w:rPr>
                          <w:rFonts w:ascii="Times New Roman" w:hAnsi="Times New Roman"/>
                          <w:i/>
                          <w:sz w:val="16"/>
                        </w:rPr>
                        <w:t>www.IdentityTheft.gov</w:t>
                      </w:r>
                      <w:r>
                        <w:rPr>
                          <w:rFonts w:ascii="Times New Roman" w:hAnsi="Times New Roman"/>
                          <w:sz w:val="16"/>
                        </w:rPr>
                        <w:t xml:space="preserve"> and Pub. 5027. </w:t>
                      </w:r>
                    </w:p>
                    <w:p>
                      <w:pPr>
                        <w:pStyle w:val="TextBody"/>
                        <w:bidi w:val="0"/>
                        <w:spacing w:before="40" w:after="0"/>
                        <w:jc w:val="left"/>
                        <w:rPr>
                          <w:rFonts w:ascii="Times New Roman" w:hAnsi="Times New Roman"/>
                          <w:sz w:val="16"/>
                        </w:rPr>
                      </w:pPr>
                      <w:r>
                        <w:rPr>
                          <w:rFonts w:ascii="Times New Roman" w:hAnsi="Times New Roman"/>
                          <w:sz w:val="16"/>
                        </w:rPr>
                        <w:t xml:space="preserve">Go to </w:t>
                      </w:r>
                      <w:r>
                        <w:rPr>
                          <w:rFonts w:ascii="Times New Roman" w:hAnsi="Times New Roman"/>
                          <w:i/>
                          <w:sz w:val="16"/>
                        </w:rPr>
                        <w:t>www.irs.gov/IdentityTheft</w:t>
                      </w:r>
                      <w:r>
                        <w:rPr>
                          <w:rFonts w:ascii="Times New Roman" w:hAnsi="Times New Roman"/>
                          <w:sz w:val="16"/>
                        </w:rPr>
                        <w:t xml:space="preserve"> to learn more about identity theft and how to reduce your risk. </w:t>
                      </w:r>
                    </w:p>
                  </w:txbxContent>
                </v:textbox>
                <w10:wrap type="square" side="right"/>
              </v:rect>
            </w:pict>
          </mc:Fallback>
        </mc:AlternateConten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3175000" cy="2420620"/>
                <wp:effectExtent l="0" t="0" r="0" b="0"/>
                <wp:wrapSquare wrapText="right"/>
                <wp:docPr id="16" name="Frame12"/>
                <a:graphic xmlns:a="http://schemas.openxmlformats.org/drawingml/2006/main">
                  <a:graphicData uri="http://schemas.microsoft.com/office/word/2010/wordprocessingShape">
                    <wps:wsp>
                      <wps:cNvSpPr txBox="1"/>
                      <wps:spPr>
                        <a:xfrm>
                          <a:off x="0" y="0"/>
                          <a:ext cx="3175000" cy="2420620"/>
                        </a:xfrm>
                        <a:prstGeom prst="rect"/>
                        <a:solidFill>
                          <a:srgbClr val="FFFFFF"/>
                        </a:solidFill>
                      </wps:spPr>
                      <wps:txbx>
                        <w:txbxContent>
                          <w:p>
                            <w:pPr>
                              <w:pStyle w:val="TextBody"/>
                              <w:bidi w:val="0"/>
                              <w:spacing w:before="0" w:after="0"/>
                              <w:jc w:val="left"/>
                              <w:rPr>
                                <w:rFonts w:ascii="Times New Roman" w:hAnsi="Times New Roman"/>
                                <w:b/>
                                <w:sz w:val="24"/>
                              </w:rPr>
                            </w:pPr>
                            <w:r>
                              <w:rPr>
                                <w:rFonts w:ascii="Times New Roman" w:hAnsi="Times New Roman"/>
                                <w:b/>
                                <w:sz w:val="24"/>
                              </w:rPr>
                              <w:t xml:space="preserve">Privacy Act Notice </w:t>
                            </w:r>
                          </w:p>
                          <w:p>
                            <w:pPr>
                              <w:pStyle w:val="TextBody"/>
                              <w:bidi w:val="0"/>
                              <w:spacing w:before="40" w:after="0"/>
                              <w:jc w:val="left"/>
                              <w:rPr>
                                <w:rFonts w:ascii="Times New Roman" w:hAnsi="Times New Roman"/>
                                <w:sz w:val="16"/>
                              </w:rPr>
                            </w:pPr>
                            <w:r>
                              <w:rPr>
                                <w:rFonts w:ascii="Times New Roman" w:hAnsi="Times New Roman"/>
                                <w:sz w:val="16"/>
                              </w:rPr>
                              <w:t xml:space="preserve">Section 6109 of the Internal Revenue Code requires you to provide your correct TIN to persons (including federal agencies) who are required to file information returns with the IRS to report interest, dividends, or certain other income paid to you; mortgage interest you paid; the acquisition or abandonment of secured property; the cancellation of debt; or contributions you made to an IRA, Archer MSA, or HSA. The person collecting this form uses the information on the form to file information returns with the IRS, reporting the above information. Routine uses of this information include giving it to the Department of Justice for civil and criminal litigation and to cities, states, the District of Columbia, and U.S. commonwealths and territories for use in administering their laws. The information may also be disclosed to other countries under a treaty, to federal and state agencies to enforce civil and criminal laws, or to federal law enforcement and intelligence agencies to combat terrorism. You must provide your TIN whether or not you are required to file a tax return. Under section 3406, payors must generally withhold a percentage of taxable interest, dividends, and certain other payments to a payee who does not give a TIN to the payor. Certain penalties may also apply for providing false or fraudulent information.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90.6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Times New Roman" w:hAnsi="Times New Roman"/>
                          <w:b/>
                          <w:sz w:val="24"/>
                        </w:rPr>
                      </w:pPr>
                      <w:r>
                        <w:rPr>
                          <w:rFonts w:ascii="Times New Roman" w:hAnsi="Times New Roman"/>
                          <w:b/>
                          <w:sz w:val="24"/>
                        </w:rPr>
                        <w:t xml:space="preserve">Privacy Act Notice </w:t>
                      </w:r>
                    </w:p>
                    <w:p>
                      <w:pPr>
                        <w:pStyle w:val="TextBody"/>
                        <w:bidi w:val="0"/>
                        <w:spacing w:before="40" w:after="0"/>
                        <w:jc w:val="left"/>
                        <w:rPr>
                          <w:rFonts w:ascii="Times New Roman" w:hAnsi="Times New Roman"/>
                          <w:sz w:val="16"/>
                        </w:rPr>
                      </w:pPr>
                      <w:r>
                        <w:rPr>
                          <w:rFonts w:ascii="Times New Roman" w:hAnsi="Times New Roman"/>
                          <w:sz w:val="16"/>
                        </w:rPr>
                        <w:t xml:space="preserve">Section 6109 of the Internal Revenue Code requires you to provide your correct TIN to persons (including federal agencies) who are required to file information returns with the IRS to report interest, dividends, or certain other income paid to you; mortgage interest you paid; the acquisition or abandonment of secured property; the cancellation of debt; or contributions you made to an IRA, Archer MSA, or HSA. The person collecting this form uses the information on the form to file information returns with the IRS, reporting the above information. Routine uses of this information include giving it to the Department of Justice for civil and criminal litigation and to cities, states, the District of Columbia, and U.S. commonwealths and territories for use in administering their laws. The information may also be disclosed to other countries under a treaty, to federal and state agencies to enforce civil and criminal laws, or to federal law enforcement and intelligence agencies to combat terrorism. You must provide your TIN whether or not you are required to file a tax return. Under section 3406, payors must generally withhold a percentage of taxable interest, dividends, and certain other payments to a payee who does not give a TIN to the payor. Certain penalties may also apply for providing false or fraudulent information. </w:t>
                      </w:r>
                    </w:p>
                  </w:txbxContent>
                </v:textbox>
                <w10:wrap type="square" side="right"/>
              </v:rect>
            </w:pict>
          </mc:Fallback>
        </mc:AlternateContent>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i/>
          <w:sz w:val="20"/>
        </w:rPr>
      </w:pPr>
      <w:r>
        <w:rPr>
          <w:rFonts w:ascii="Times New Roman" w:hAnsi="Times New Roman"/>
          <w:i/>
          <w:sz w:val="20"/>
        </w:rPr>
        <w:t xml:space="preserve">The Depositary for the Offer to Purchase is: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673225" cy="327660"/>
            <wp:effectExtent l="0" t="0" r="0" b="0"/>
            <wp:docPr id="1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5" descr=""/>
                    <pic:cNvPicPr>
                      <a:picLocks noChangeAspect="1" noChangeArrowheads="1"/>
                    </pic:cNvPicPr>
                  </pic:nvPicPr>
                  <pic:blipFill>
                    <a:blip r:embed="rId10"/>
                    <a:stretch>
                      <a:fillRect/>
                    </a:stretch>
                  </pic:blipFill>
                  <pic:spPr bwMode="auto">
                    <a:xfrm>
                      <a:off x="0" y="0"/>
                      <a:ext cx="1673225" cy="32766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4"/>
        <w:gridCol w:w="203"/>
        <w:gridCol w:w="4798"/>
      </w:tblGrid>
      <w:tr>
        <w:trPr/>
        <w:tc>
          <w:tcPr>
            <w:tcW w:w="520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center"/>
              <w:rPr>
                <w:i/>
              </w:rPr>
            </w:pPr>
            <w:r>
              <w:rPr>
                <w:i/>
              </w:rPr>
              <w:t>If delivering by mail:</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center"/>
              <w:rPr>
                <w:i/>
              </w:rPr>
            </w:pPr>
            <w:r>
              <w:rPr>
                <w:i/>
              </w:rPr>
              <w:t>If delivering by express mail, courier</w:t>
              <w:br/>
              <w:t>or any other expedited service:</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center"/>
              <w:rPr>
                <w:rFonts w:ascii="Times New Roman" w:hAnsi="Times New Roman"/>
                <w:sz w:val="20"/>
              </w:rPr>
            </w:pPr>
            <w:r>
              <w:rPr>
                <w:rFonts w:ascii="Times New Roman" w:hAnsi="Times New Roman"/>
                <w:sz w:val="20"/>
              </w:rPr>
              <w:t>Computershare</w:t>
              <w:br/>
              <w:t>c/o Voluntary Corporate Actions</w:t>
              <w:br/>
              <w:t>P.O. Box 43011</w:t>
              <w:br/>
              <w:t>Providence, Rhode Island 02940-3011</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center"/>
              <w:rPr/>
            </w:pPr>
            <w:r>
              <w:rPr/>
              <w:t>Computershare</w:t>
              <w:br/>
              <w:t>c/o Voluntary Corporate Actions</w:t>
              <w:br/>
              <w:t>Suite V</w:t>
              <w:br/>
              <w:t>150 Royall Street</w:t>
              <w:br/>
              <w:t>Canton, Massachusetts 02021</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DELIVERY OF THIS LETTER OF TRANSMITTAL TO AN ADDRESS OTHER THAN AS SET FORTH ABOVE WILL NOT CONSTITUTE A VALID DELIVERY TO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Questions or requests for assistance may be directed to the Information Agent at the address and telephone numbers listed below. Additional copies of the Offer to Purchase, this Letter of Transmittal and other materials related to the Offer may be obtained at no cost to stockholders from the Information Agent. Additionally, copies of the Offer to Purchase, this Letter of Transmittal and any other materials related to the Offer are available free of charge at www.sec.gov. Stockholders may also contact their brokers, dealers, commercial banks, trust companies or other nominees for assistance. </w:t>
      </w:r>
    </w:p>
    <w:p>
      <w:pPr>
        <w:pStyle w:val="TextBody"/>
        <w:bidi w:val="0"/>
        <w:spacing w:before="240" w:after="0"/>
        <w:jc w:val="center"/>
        <w:rPr>
          <w:rFonts w:ascii="Times New Roman" w:hAnsi="Times New Roman"/>
          <w:i/>
          <w:sz w:val="20"/>
        </w:rPr>
      </w:pPr>
      <w:r>
        <w:rPr>
          <w:rFonts w:ascii="Times New Roman" w:hAnsi="Times New Roman"/>
          <w:i/>
          <w:sz w:val="20"/>
        </w:rPr>
        <w:t xml:space="preserve">The Information Agent for the Offer is: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023745" cy="702945"/>
            <wp:effectExtent l="0" t="0" r="0" b="0"/>
            <wp:docPr id="1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6" descr=""/>
                    <pic:cNvPicPr>
                      <a:picLocks noChangeAspect="1" noChangeArrowheads="1"/>
                    </pic:cNvPicPr>
                  </pic:nvPicPr>
                  <pic:blipFill>
                    <a:blip r:embed="rId11"/>
                    <a:stretch>
                      <a:fillRect/>
                    </a:stretch>
                  </pic:blipFill>
                  <pic:spPr bwMode="auto">
                    <a:xfrm>
                      <a:off x="0" y="0"/>
                      <a:ext cx="2023745" cy="70294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Georgeson LLC </w:t>
      </w:r>
    </w:p>
    <w:p>
      <w:pPr>
        <w:pStyle w:val="TextBody"/>
        <w:bidi w:val="0"/>
        <w:spacing w:before="0" w:after="0"/>
        <w:jc w:val="center"/>
        <w:rPr>
          <w:rFonts w:ascii="Times New Roman" w:hAnsi="Times New Roman"/>
          <w:b/>
          <w:sz w:val="20"/>
        </w:rPr>
      </w:pPr>
      <w:r>
        <w:rPr>
          <w:rFonts w:ascii="Times New Roman" w:hAnsi="Times New Roman"/>
          <w:b/>
          <w:sz w:val="20"/>
        </w:rPr>
        <w:t xml:space="preserve">51 West 52nd Street, 6th Floor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NY 10019 </w:t>
      </w:r>
    </w:p>
    <w:p>
      <w:pPr>
        <w:pStyle w:val="TextBody"/>
        <w:bidi w:val="0"/>
        <w:spacing w:before="0" w:after="0"/>
        <w:jc w:val="center"/>
        <w:rPr>
          <w:rFonts w:ascii="Times New Roman" w:hAnsi="Times New Roman"/>
          <w:b/>
          <w:sz w:val="20"/>
        </w:rPr>
      </w:pPr>
      <w:r>
        <w:rPr>
          <w:rFonts w:ascii="Times New Roman" w:hAnsi="Times New Roman"/>
          <w:b/>
          <w:sz w:val="20"/>
        </w:rPr>
        <w:t xml:space="preserve">Shareholders, Banks and Brokers </w:t>
      </w:r>
    </w:p>
    <w:p>
      <w:pPr>
        <w:pStyle w:val="TextBody"/>
        <w:bidi w:val="0"/>
        <w:spacing w:before="0" w:after="0"/>
        <w:jc w:val="center"/>
        <w:rPr>
          <w:rFonts w:ascii="Times New Roman" w:hAnsi="Times New Roman"/>
          <w:b/>
          <w:sz w:val="20"/>
        </w:rPr>
      </w:pPr>
      <w:r>
        <w:rPr>
          <w:rFonts w:ascii="Times New Roman" w:hAnsi="Times New Roman"/>
          <w:b/>
          <w:sz w:val="20"/>
        </w:rPr>
        <w:t xml:space="preserve">Toll Free: (888) 446-9207 </w:t>
      </w:r>
    </w:p>
    <w:p>
      <w:pPr>
        <w:pStyle w:val="TextBody"/>
        <w:bidi w:val="0"/>
        <w:spacing w:before="0" w:after="0"/>
        <w:jc w:val="center"/>
        <w:rPr>
          <w:rFonts w:ascii="Times New Roman" w:hAnsi="Times New Roman"/>
          <w:b/>
          <w:sz w:val="20"/>
        </w:rPr>
      </w:pPr>
      <w:r>
        <w:rPr>
          <w:rFonts w:ascii="Times New Roman" w:hAnsi="Times New Roman"/>
          <w:b/>
          <w:sz w:val="20"/>
        </w:rPr>
        <w:t xml:space="preserve">Outside the U.S. and Canada: (862) 243-7027 </w:t>
      </w:r>
    </w:p>
    <w:p>
      <w:pPr>
        <w:pStyle w:val="TextBody"/>
        <w:bidi w:val="0"/>
        <w:spacing w:before="0" w:after="0"/>
        <w:jc w:val="center"/>
        <w:rPr>
          <w:rFonts w:ascii="Times New Roman" w:hAnsi="Times New Roman"/>
          <w:b/>
          <w:sz w:val="20"/>
        </w:rPr>
      </w:pPr>
      <w:r>
        <w:rPr>
          <w:rFonts w:ascii="Times New Roman" w:hAnsi="Times New Roman"/>
          <w:b/>
          <w:sz w:val="20"/>
        </w:rPr>
        <w:t xml:space="preserve">Email: Adverumoffer@georgeson.com </w:t>
      </w:r>
    </w:p>
    <w:p>
      <w:pPr>
        <w:pStyle w:val="TextBody"/>
        <w:bidi w:val="0"/>
        <w:spacing w:before="0" w:after="0"/>
        <w:jc w:val="right"/>
        <w:rPr>
          <w:rFonts w:ascii="Times New Roman" w:hAnsi="Times New Roman"/>
          <w:b/>
          <w:sz w:val="20"/>
        </w:rPr>
      </w:pPr>
      <w:bookmarkStart w:id="29" w:name="d67752dex99a1c.htm"/>
      <w:bookmarkStart w:id="30" w:name="ksd67752dex99a1c"/>
      <w:bookmarkEnd w:id="29"/>
      <w:bookmarkEnd w:id="30"/>
      <w:r>
        <w:rPr>
          <w:rFonts w:ascii="Times New Roman" w:hAnsi="Times New Roman"/>
          <w:b/>
          <w:sz w:val="20"/>
        </w:rPr>
        <w:t xml:space="preserve">Exhibit (a)(1)(C)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Offer to Purchase </w:t>
      </w:r>
    </w:p>
    <w:p>
      <w:pPr>
        <w:pStyle w:val="TextBody"/>
        <w:bidi w:val="0"/>
        <w:spacing w:before="120" w:after="0"/>
        <w:jc w:val="center"/>
        <w:rPr>
          <w:rFonts w:ascii="Times New Roman" w:hAnsi="Times New Roman"/>
          <w:b/>
          <w:sz w:val="20"/>
        </w:rPr>
      </w:pPr>
      <w:r>
        <w:rPr>
          <w:rFonts w:ascii="Times New Roman" w:hAnsi="Times New Roman"/>
          <w:b/>
          <w:sz w:val="20"/>
        </w:rPr>
        <w:t xml:space="preserve">All Outstanding Shares of Common Stock </w:t>
      </w:r>
    </w:p>
    <w:p>
      <w:pPr>
        <w:pStyle w:val="TextBody"/>
        <w:bidi w:val="0"/>
        <w:spacing w:before="120" w:after="0"/>
        <w:jc w:val="center"/>
        <w:rPr>
          <w:rFonts w:ascii="Times New Roman" w:hAnsi="Times New Roman"/>
          <w:b/>
          <w:sz w:val="20"/>
        </w:rPr>
      </w:pPr>
      <w:r>
        <w:rPr>
          <w:rFonts w:ascii="Times New Roman" w:hAnsi="Times New Roman"/>
          <w:b/>
          <w:sz w:val="20"/>
        </w:rPr>
        <w:t xml:space="preserve">of </w:t>
      </w:r>
    </w:p>
    <w:p>
      <w:pPr>
        <w:pStyle w:val="TextBody"/>
        <w:bidi w:val="0"/>
        <w:spacing w:before="120" w:after="0"/>
        <w:jc w:val="center"/>
        <w:rPr>
          <w:rFonts w:ascii="Times New Roman" w:hAnsi="Times New Roman"/>
          <w:b/>
          <w:sz w:val="20"/>
        </w:rPr>
      </w:pPr>
      <w:r>
        <w:rPr>
          <w:rFonts w:ascii="Times New Roman" w:hAnsi="Times New Roman"/>
          <w:b/>
          <w:sz w:val="20"/>
        </w:rPr>
        <w:t xml:space="preserve">ADVERUM BIOTECHNOLOGIES, INC. </w:t>
      </w:r>
    </w:p>
    <w:p>
      <w:pPr>
        <w:pStyle w:val="TextBody"/>
        <w:bidi w:val="0"/>
        <w:spacing w:before="120" w:after="0"/>
        <w:jc w:val="center"/>
        <w:rPr>
          <w:rFonts w:ascii="Times New Roman" w:hAnsi="Times New Roman"/>
          <w:b/>
          <w:sz w:val="20"/>
        </w:rPr>
      </w:pPr>
      <w:r>
        <w:rPr>
          <w:rFonts w:ascii="Times New Roman" w:hAnsi="Times New Roman"/>
          <w:b/>
          <w:sz w:val="20"/>
        </w:rPr>
        <w:t xml:space="preserve">at </w:t>
      </w:r>
    </w:p>
    <w:p>
      <w:pPr>
        <w:pStyle w:val="TextBody"/>
        <w:bidi w:val="0"/>
        <w:spacing w:before="0" w:after="0"/>
        <w:jc w:val="center"/>
        <w:rPr>
          <w:rFonts w:ascii="Times New Roman" w:hAnsi="Times New Roman"/>
          <w:b/>
          <w:sz w:val="20"/>
        </w:rPr>
      </w:pPr>
      <w:r>
        <w:rPr>
          <w:rFonts w:ascii="Times New Roman" w:hAnsi="Times New Roman"/>
          <w:b/>
          <w:sz w:val="20"/>
        </w:rPr>
        <w:t xml:space="preserve">$3.56 per share, net to the stockholder in cash, without interest and less any applicable tax withholding, </w:t>
      </w:r>
    </w:p>
    <w:p>
      <w:pPr>
        <w:pStyle w:val="TextBody"/>
        <w:bidi w:val="0"/>
        <w:spacing w:before="0" w:after="0"/>
        <w:jc w:val="center"/>
        <w:rPr>
          <w:rFonts w:ascii="Times New Roman" w:hAnsi="Times New Roman"/>
          <w:sz w:val="20"/>
        </w:rPr>
      </w:pPr>
      <w:r>
        <w:rPr>
          <w:rFonts w:ascii="Times New Roman" w:hAnsi="Times New Roman"/>
          <w:b/>
          <w:i/>
          <w:sz w:val="20"/>
        </w:rPr>
        <w:t>plus</w:t>
      </w:r>
      <w:r>
        <w:rPr>
          <w:rFonts w:ascii="Times New Roman" w:hAnsi="Times New Roman"/>
          <w:sz w:val="20"/>
        </w:rPr>
        <w:t xml:space="preserve"> </w:t>
      </w:r>
      <w:r>
        <w:rPr>
          <w:rFonts w:ascii="Times New Roman" w:hAnsi="Times New Roman"/>
          <w:b/>
          <w:sz w:val="20"/>
        </w:rPr>
        <w:t xml:space="preserve">one non-tradable contingent value right (“CVR”) per share, </w:t>
      </w:r>
    </w:p>
    <w:p>
      <w:pPr>
        <w:pStyle w:val="TextBody"/>
        <w:bidi w:val="0"/>
        <w:spacing w:before="0" w:after="0"/>
        <w:jc w:val="center"/>
        <w:rPr>
          <w:rFonts w:ascii="Times New Roman" w:hAnsi="Times New Roman"/>
          <w:b/>
          <w:sz w:val="20"/>
        </w:rPr>
      </w:pPr>
      <w:r>
        <w:rPr>
          <w:rFonts w:ascii="Times New Roman" w:hAnsi="Times New Roman"/>
          <w:b/>
          <w:sz w:val="20"/>
        </w:rPr>
        <w:t xml:space="preserve">which represents the contractual right to receive up to two contingent cash payments of up to an aggregate of $8.91 per CVR, net to the </w:t>
      </w:r>
    </w:p>
    <w:p>
      <w:pPr>
        <w:pStyle w:val="TextBody"/>
        <w:bidi w:val="0"/>
        <w:spacing w:before="0" w:after="0"/>
        <w:jc w:val="center"/>
        <w:rPr>
          <w:rFonts w:ascii="Times New Roman" w:hAnsi="Times New Roman"/>
          <w:b/>
          <w:sz w:val="20"/>
        </w:rPr>
      </w:pPr>
      <w:r>
        <w:rPr>
          <w:rFonts w:ascii="Times New Roman" w:hAnsi="Times New Roman"/>
          <w:b/>
          <w:sz w:val="20"/>
        </w:rPr>
        <w:t xml:space="preserve">stockholder in cash, without interest and less any applicable tax withholding, upon the achievement of </w:t>
      </w:r>
    </w:p>
    <w:p>
      <w:pPr>
        <w:pStyle w:val="TextBody"/>
        <w:bidi w:val="0"/>
        <w:spacing w:before="0" w:after="0"/>
        <w:jc w:val="center"/>
        <w:rPr>
          <w:rFonts w:ascii="Times New Roman" w:hAnsi="Times New Roman"/>
          <w:b/>
          <w:sz w:val="20"/>
        </w:rPr>
      </w:pPr>
      <w:r>
        <w:rPr>
          <w:rFonts w:ascii="Times New Roman" w:hAnsi="Times New Roman"/>
          <w:b/>
          <w:sz w:val="20"/>
        </w:rPr>
        <w:t xml:space="preserve">certain specified milestones </w:t>
      </w:r>
    </w:p>
    <w:p>
      <w:pPr>
        <w:pStyle w:val="TextBody"/>
        <w:bidi w:val="0"/>
        <w:spacing w:before="120" w:after="0"/>
        <w:jc w:val="center"/>
        <w:rPr>
          <w:rFonts w:ascii="Times New Roman" w:hAnsi="Times New Roman"/>
          <w:b/>
          <w:sz w:val="20"/>
        </w:rPr>
      </w:pPr>
      <w:r>
        <w:rPr>
          <w:rFonts w:ascii="Times New Roman" w:hAnsi="Times New Roman"/>
          <w:b/>
          <w:sz w:val="20"/>
        </w:rPr>
        <w:t xml:space="preserve">Pursuant to the Offer to Purchase dated November 7, 2025 </w:t>
      </w:r>
    </w:p>
    <w:p>
      <w:pPr>
        <w:pStyle w:val="TextBody"/>
        <w:bidi w:val="0"/>
        <w:spacing w:before="120" w:after="0"/>
        <w:jc w:val="center"/>
        <w:rPr>
          <w:rFonts w:ascii="Times New Roman" w:hAnsi="Times New Roman"/>
          <w:b/>
          <w:sz w:val="20"/>
        </w:rPr>
      </w:pPr>
      <w:r>
        <w:rPr>
          <w:rFonts w:ascii="Times New Roman" w:hAnsi="Times New Roman"/>
          <w:b/>
          <w:sz w:val="20"/>
        </w:rPr>
        <w:t xml:space="preserve">by </w:t>
      </w:r>
    </w:p>
    <w:p>
      <w:pPr>
        <w:pStyle w:val="TextBody"/>
        <w:bidi w:val="0"/>
        <w:spacing w:before="120" w:after="0"/>
        <w:jc w:val="center"/>
        <w:rPr>
          <w:rFonts w:ascii="Times New Roman" w:hAnsi="Times New Roman"/>
          <w:b/>
          <w:sz w:val="20"/>
        </w:rPr>
      </w:pPr>
      <w:r>
        <w:rPr>
          <w:rFonts w:ascii="Times New Roman" w:hAnsi="Times New Roman"/>
          <w:b/>
          <w:sz w:val="20"/>
        </w:rPr>
        <w:t xml:space="preserve">FLYING TIGERS ACQUISITION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a direct wholly-owned subsidiary </w:t>
      </w:r>
    </w:p>
    <w:p>
      <w:pPr>
        <w:pStyle w:val="TextBody"/>
        <w:bidi w:val="0"/>
        <w:spacing w:before="120" w:after="0"/>
        <w:jc w:val="center"/>
        <w:rPr>
          <w:rFonts w:ascii="Times New Roman" w:hAnsi="Times New Roman"/>
          <w:b/>
          <w:sz w:val="20"/>
        </w:rPr>
      </w:pPr>
      <w:r>
        <w:rPr>
          <w:rFonts w:ascii="Times New Roman" w:hAnsi="Times New Roman"/>
          <w:b/>
          <w:sz w:val="20"/>
        </w:rPr>
        <w:t xml:space="preserve">of </w:t>
      </w:r>
    </w:p>
    <w:p>
      <w:pPr>
        <w:pStyle w:val="TextBody"/>
        <w:bidi w:val="0"/>
        <w:spacing w:before="120" w:after="0"/>
        <w:jc w:val="center"/>
        <w:rPr>
          <w:rFonts w:ascii="Times New Roman" w:hAnsi="Times New Roman"/>
          <w:b/>
          <w:sz w:val="20"/>
        </w:rPr>
      </w:pPr>
      <w:r>
        <w:rPr>
          <w:rFonts w:ascii="Times New Roman" w:hAnsi="Times New Roman"/>
          <w:b/>
          <w:sz w:val="20"/>
        </w:rPr>
        <w:t xml:space="preserve">ELI LILLY AND COMPANY </w:t>
      </w:r>
    </w:p>
    <w:p>
      <w:pPr>
        <w:pStyle w:val="TextBody"/>
        <w:bidi w:val="0"/>
        <w:spacing w:before="120" w:after="0"/>
        <w:jc w:val="center"/>
        <w:rPr>
          <w:rFonts w:ascii="Times New Roman" w:hAnsi="Times New Roman"/>
          <w:b/>
          <w:sz w:val="20"/>
        </w:rPr>
      </w:pPr>
      <w:r>
        <w:rPr>
          <w:rFonts w:ascii="Times New Roman" w:hAnsi="Times New Roman"/>
          <w:b/>
          <w:sz w:val="20"/>
        </w:rPr>
        <w:t xml:space="preserve">THE OFFER AND WITHDRAWAL RIGHTS WILL EXPIRE AT ONE MINUTE PAST 11:59 P.M., </w:t>
      </w:r>
    </w:p>
    <w:p>
      <w:pPr>
        <w:pStyle w:val="TextBody"/>
        <w:bidi w:val="0"/>
        <w:spacing w:before="0" w:after="0"/>
        <w:jc w:val="center"/>
        <w:rPr>
          <w:rFonts w:ascii="Times New Roman" w:hAnsi="Times New Roman"/>
          <w:b/>
          <w:sz w:val="20"/>
        </w:rPr>
      </w:pPr>
      <w:r>
        <w:rPr>
          <w:rFonts w:ascii="Times New Roman" w:hAnsi="Times New Roman"/>
          <w:b/>
          <w:sz w:val="20"/>
        </w:rPr>
        <w:t xml:space="preserve">EASTERN TIME, ON DECEMBER 8, 2025, UNLESS THE OFFER IS EXTENDED OR EARLIER </w:t>
      </w:r>
    </w:p>
    <w:p>
      <w:pPr>
        <w:pStyle w:val="TextBody"/>
        <w:bidi w:val="0"/>
        <w:spacing w:before="0" w:after="0"/>
        <w:jc w:val="center"/>
        <w:rPr>
          <w:rFonts w:ascii="Times New Roman" w:hAnsi="Times New Roman"/>
          <w:b/>
          <w:sz w:val="20"/>
        </w:rPr>
      </w:pPr>
      <w:r>
        <w:rPr>
          <w:rFonts w:ascii="Times New Roman" w:hAnsi="Times New Roman"/>
          <w:b/>
          <w:sz w:val="20"/>
        </w:rPr>
        <w:t xml:space="preserve">TERMINATED. </w:t>
      </w:r>
    </w:p>
    <w:p>
      <w:pPr>
        <w:pStyle w:val="TextBody"/>
        <w:bidi w:val="0"/>
        <w:spacing w:before="240" w:after="0"/>
        <w:jc w:val="right"/>
        <w:rPr>
          <w:rFonts w:ascii="Times New Roman" w:hAnsi="Times New Roman"/>
          <w:sz w:val="20"/>
        </w:rPr>
      </w:pPr>
      <w:r>
        <w:rPr>
          <w:rFonts w:ascii="Times New Roman" w:hAnsi="Times New Roman"/>
          <w:sz w:val="20"/>
        </w:rPr>
        <w:t xml:space="preserve">November 7, 2025 </w:t>
      </w:r>
    </w:p>
    <w:p>
      <w:pPr>
        <w:pStyle w:val="TextBody"/>
        <w:bidi w:val="0"/>
        <w:spacing w:before="240" w:after="0"/>
        <w:jc w:val="left"/>
        <w:rPr>
          <w:rFonts w:ascii="Times New Roman" w:hAnsi="Times New Roman"/>
          <w:sz w:val="20"/>
        </w:rPr>
      </w:pPr>
      <w:r>
        <w:rPr>
          <w:rFonts w:ascii="Times New Roman" w:hAnsi="Times New Roman"/>
          <w:sz w:val="20"/>
        </w:rPr>
        <w:t xml:space="preserve">To Brokers, Dealers, Commercial Banks, Trust Companies and Other Nominees: </w:t>
      </w:r>
    </w:p>
    <w:p>
      <w:pPr>
        <w:pStyle w:val="TextBody"/>
        <w:bidi w:val="0"/>
        <w:spacing w:before="120" w:after="0"/>
        <w:jc w:val="left"/>
        <w:rPr>
          <w:rFonts w:ascii="Times New Roman" w:hAnsi="Times New Roman"/>
          <w:sz w:val="20"/>
        </w:rPr>
      </w:pPr>
      <w:r>
        <w:rPr>
          <w:rFonts w:ascii="Times New Roman" w:hAnsi="Times New Roman"/>
          <w:sz w:val="20"/>
        </w:rPr>
        <w:t xml:space="preserve">We have been engaged by Flying Tigers Acquisition Corporation, a Delaware corporation (“Purchaser”) and a direct wholly-owned subsidiary of Eli Lilly and Company, an Indiana corporation (“Lilly”), to act as information agent (the “Information Agent”) in connection with the Purchaser’s offer to purchase all of the issued and outstanding shares of common stock, par value $0.0001 per share (the “Shares”), of Adverum Biotechnologies, Inc., a Delaware corporation (“Adverum”), in exchange for (i) $3.56 per Share, net to the stockholder in cash, without interest (the “Cash Consideration”) and less any applicable tax withholding, plus (ii) one non-tradable CVR per Share, which represents the contractual right to receive up to two contingent cash payments of up to an aggregate of $8.91 per CVR, net to the stockholder in cash, without interest and less any applicable tax withholding, upon the achievement of certain specified milestones, all in accordance with the terms and subject to the conditions and other provisions of a contingent value rights agreement to be entered into by and among Lilly, Computershare, Inc., a Delaware corporation, and its affiliate, Computershare Trust Company, N.A., a federally chartered trust company (the Cash Consideration plus one CVR, collectively, the “Offer Price”), upon the terms and subject to the conditions set forth in the Offer to Purchase, dated November 7, 2025 (the “Offer to Purchase”), and in the related Letter of Transmittal (which, together with the Offer to Purchase, as each may be amended or supplemented from time to time, collectively constitute the “Offer”). Please furnish copies of the enclosed materials to those of your clients for whom you hold Shares registered in your name or in the name of your nominee. The CVR Agreement contains important terms, conditions and other provisions relating to any potential payment in respect of the CVRs. It is possible that no payment or a payment of less than $8.91 per CVR will become payable in respect of the CVRs. See Section 11—“The Merger Agreement; Other Agreements—CVR Agreement” of the Offer to Purchase.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The Offer and the Merger are not subject to any financing condition. The conditions to the Offer are described in Section 15 of the Offer to Purchase. </w:t>
      </w:r>
    </w:p>
    <w:p>
      <w:pPr>
        <w:pStyle w:val="TextBody"/>
        <w:bidi w:val="0"/>
        <w:spacing w:before="120" w:after="0"/>
        <w:jc w:val="left"/>
        <w:rPr>
          <w:rFonts w:ascii="Times New Roman" w:hAnsi="Times New Roman"/>
          <w:sz w:val="20"/>
        </w:rPr>
      </w:pPr>
      <w:r>
        <w:rPr>
          <w:rFonts w:ascii="Times New Roman" w:hAnsi="Times New Roman"/>
          <w:sz w:val="20"/>
        </w:rPr>
        <w:t xml:space="preserve">For your information and for forwarding to your clients for whom you hold Shares registered in your name or in the name of your nominee, we are enclosing the following documents: </w:t>
      </w:r>
    </w:p>
    <w:p>
      <w:pPr>
        <w:pStyle w:val="TextBody"/>
        <w:bidi w:val="0"/>
        <w:spacing w:before="120" w:after="0"/>
        <w:jc w:val="left"/>
        <w:rPr>
          <w:rFonts w:ascii="Times New Roman" w:hAnsi="Times New Roman"/>
          <w:sz w:val="20"/>
        </w:rPr>
      </w:pPr>
      <w:r>
        <w:rPr>
          <w:rFonts w:ascii="Times New Roman" w:hAnsi="Times New Roman"/>
          <w:sz w:val="20"/>
        </w:rPr>
        <w:t xml:space="preserve">1. The Offer to Purchase; </w:t>
      </w:r>
    </w:p>
    <w:p>
      <w:pPr>
        <w:pStyle w:val="TextBody"/>
        <w:bidi w:val="0"/>
        <w:spacing w:before="240" w:after="0"/>
        <w:jc w:val="left"/>
        <w:rPr>
          <w:rFonts w:ascii="Times New Roman" w:hAnsi="Times New Roman"/>
          <w:sz w:val="20"/>
        </w:rPr>
      </w:pPr>
      <w:r>
        <w:rPr>
          <w:rFonts w:ascii="Times New Roman" w:hAnsi="Times New Roman"/>
          <w:sz w:val="20"/>
        </w:rPr>
        <w:t xml:space="preserve">2. The Letter of Transmittal (including Internal Revenue Service Form W-9) for your use in accepting the Offer and tendering Shares and for the information of your clients; </w:t>
      </w:r>
    </w:p>
    <w:p>
      <w:pPr>
        <w:pStyle w:val="TextBody"/>
        <w:bidi w:val="0"/>
        <w:spacing w:before="240" w:after="0"/>
        <w:jc w:val="left"/>
        <w:rPr>
          <w:rFonts w:ascii="Times New Roman" w:hAnsi="Times New Roman"/>
          <w:sz w:val="20"/>
        </w:rPr>
      </w:pPr>
      <w:r>
        <w:rPr>
          <w:rFonts w:ascii="Times New Roman" w:hAnsi="Times New Roman"/>
          <w:sz w:val="20"/>
        </w:rPr>
        <w:t xml:space="preserve">3. A form of letter which may be sent to your clients for whose accounts you hold Shares registered in your name or in the name of your nominee, with space provided for obtaining such clients’ instructions with regard to the Offer; and </w:t>
      </w:r>
    </w:p>
    <w:p>
      <w:pPr>
        <w:pStyle w:val="TextBody"/>
        <w:bidi w:val="0"/>
        <w:spacing w:before="240" w:after="0"/>
        <w:jc w:val="left"/>
        <w:rPr>
          <w:rFonts w:ascii="Times New Roman" w:hAnsi="Times New Roman"/>
          <w:sz w:val="20"/>
        </w:rPr>
      </w:pPr>
      <w:r>
        <w:rPr>
          <w:rFonts w:ascii="Times New Roman" w:hAnsi="Times New Roman"/>
          <w:sz w:val="20"/>
        </w:rPr>
        <w:t>4. Adverum’s Solicitation/Recommendation Statement on Schedule 14D-9.</w:t>
      </w:r>
    </w:p>
    <w:p>
      <w:pPr>
        <w:pStyle w:val="TextBody"/>
        <w:bidi w:val="0"/>
        <w:spacing w:before="360" w:after="0"/>
        <w:jc w:val="left"/>
        <w:rPr>
          <w:rFonts w:ascii="Times New Roman" w:hAnsi="Times New Roman"/>
          <w:b/>
          <w:sz w:val="20"/>
        </w:rPr>
      </w:pPr>
      <w:r>
        <w:rPr>
          <w:rFonts w:ascii="Times New Roman" w:hAnsi="Times New Roman"/>
          <w:b/>
          <w:sz w:val="20"/>
        </w:rPr>
        <w:t xml:space="preserve">We urge you to contact your clients as promptly as possible. Please note that the Offer and withdrawal rights will expire at one minute past 11:59 p.m., Eastern Time, on December 8, 2025 (the “Expiration Time”), unless the expiration of the Offer is extended to a subsequent date in accordance with the terms of the Merger Agreement (as defined below), in which case the term “Expiration Time” means such subsequent time on such subsequent date. Purchaser is not providing for guaranteed delivery procedures. Therefore, Adverum stockholders must allow sufficient time for the necessary tender procedures to be completed during normal business hours of The Depositary Trust Company (“DTC”), which end earlier than the Expiration Time. Normal business hours of DTC are between 8:00 a.m. and 5:00 p.m., Eastern Time, Monday through Friday. </w:t>
      </w:r>
    </w:p>
    <w:p>
      <w:pPr>
        <w:pStyle w:val="TextBody"/>
        <w:bidi w:val="0"/>
        <w:spacing w:before="120" w:after="0"/>
        <w:jc w:val="left"/>
        <w:rPr>
          <w:rFonts w:ascii="Times New Roman" w:hAnsi="Times New Roman"/>
          <w:sz w:val="20"/>
        </w:rPr>
      </w:pPr>
      <w:r>
        <w:rPr>
          <w:rFonts w:ascii="Times New Roman" w:hAnsi="Times New Roman"/>
          <w:sz w:val="20"/>
        </w:rPr>
        <w:t xml:space="preserve">The Offer is being made pursuant to an Agreement and Plan of Merger, dated October 24, 2025 (as it may be amended from time to time, the “Merger Agreement”), by and among Adverum, Lilly and Purchaser, pursuant to which, after consummation of the Offer and subject to the satisfaction or waiver of certain conditions, Purchaser will merge with and into Adverum pursuant to Section 251(h) of the General Corporation Law of the State of Delaware (the “DGCL”), upon the terms and subject to the conditions set forth in the Merger Agreement, with Adverum continuing as the surviving corporation and becoming a direct wholly-owned subsidiary of Lilly (the “Merger”). At the effective time of the Merger (the “Effective Time”), each Share issued and outstanding immediately prior to the Effective Time (other than (i) Shares held in the treasury of Adverum or owned by Adverum, (ii) Shares owned by Lilly, Purchaser or any direct or indirect wholly-owned subsidiary of Lilly or Purchaser or (iii) Shares that are held by stockholders who are entitled to demand and properly exercised and perfected their respective demands for appraisal for such Shares in accordance with Section 262 of the DGCL) will be converted into the right to receive the Offer Price, without interest, from Purchaser, less any applicable tax withholding.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of Adverum unanimously (i) determined that the Merger Agreement and the transactions contemplated thereby (the “Transactions”) are advisable, fair to, and in the best interests of, Adverum and the holders of the Shares, (ii) duly authorized and approved the execution and delivery of the Merger Agreement, the performance by Adverum of its covenants and other obligations thereunder, and the consummation of the Transactions upon the terms and subject to the conditions set forth therein, (iii) resolved that the Merger Agreement and the Transactions will be governed by and effected under Section 251(h) and other relevant provisions of the DGCL and (iv) resolved to recommend that Adverum stockholders accept the Offer and tender their Shares pursuant to the Offer. </w:t>
      </w:r>
    </w:p>
    <w:p>
      <w:pPr>
        <w:pStyle w:val="TextBody"/>
        <w:bidi w:val="0"/>
        <w:spacing w:before="240" w:after="0"/>
        <w:jc w:val="left"/>
        <w:rPr>
          <w:rFonts w:ascii="Times New Roman" w:hAnsi="Times New Roman"/>
          <w:sz w:val="20"/>
        </w:rPr>
      </w:pPr>
      <w:r>
        <w:rPr>
          <w:rFonts w:ascii="Times New Roman" w:hAnsi="Times New Roman"/>
          <w:sz w:val="20"/>
        </w:rPr>
        <w:t xml:space="preserve">For Shares to be validly tendered to the Purchaser pursuant to the Offer, Computershare Trust Company, N.A., the depositary and paying agent for the Offer (in such capacity, the “Depositary”), must be in timely receipt of (i) to the extent the Shares are not already held with the depositary, the certificates evidencing such Shares (the “Share Certificates”) or confirmation of a book-entry transfer of such Shares into the Depositary’s account at DTC pursuant to the procedures set forth in Section 3 of the Offer to Purchase, (ii) the Letter of Transmittal, properly completed and duly executed, with any required signature guarantees (or, in the case of a book-entry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transfer or a tender through DTC’s Automated Tender Offer Program, an Agent’s Message (as defined in the Offer to Purchase) in lieu of the Letter of Transmittal) and (iii) any other documents required by the Letter of Transmittal or the Depositary, in each case prior to the Expiration Time. Accordingly, tendering stockholders may be paid at different times depending upon when the Share Certificates and Letter of Transmittal, or Book-Entry Confirmations and Agent’s Message, in each case, with respect to Shares that are actually received by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Neither Lilly nor Purchaser will pay any fees or commissions to any broker, dealer, commercial bank, trust company or to any other person (other than to the Depositary and the Information Agent as described in the Offer to Purchase) in connection with the solicitation of tenders of Shares pursuant to the Offer. Brokers, dealers, commercial banks and trust companies will, upon request, be reimbursed by Purchaser for customary mailing and handling expenses incurred by them in forwarding offering materials to their customers. Tendering stockholders who are holders of record of their Shares and who tender directly to the Depositary will not be obligated to pay brokerage fees or commissions or, except as otherwise provided in Section 6 of the Letter of Transmittal, stock transfer taxes with respect to the purchase of Shares by Purchaser pursuant to the Offer. </w:t>
      </w:r>
    </w:p>
    <w:p>
      <w:pPr>
        <w:pStyle w:val="TextBody"/>
        <w:bidi w:val="0"/>
        <w:spacing w:before="240" w:after="0"/>
        <w:jc w:val="left"/>
        <w:rPr>
          <w:rFonts w:ascii="Times New Roman" w:hAnsi="Times New Roman"/>
          <w:sz w:val="20"/>
        </w:rPr>
      </w:pPr>
      <w:r>
        <w:rPr>
          <w:rFonts w:ascii="Times New Roman" w:hAnsi="Times New Roman"/>
          <w:sz w:val="20"/>
        </w:rPr>
        <w:t xml:space="preserve">Questions or requests for assistance may be directed to the Information Agent at the address and telephone numbers listed below. Additional copies of the Offer to Purchase, the related Letter of Transmittal and other materials related to the Offer may be obtained at no cost to stockholders from the Information Agent. Additionally, copies of the Offer to Purchase, the related Letter of Transmittal and any other materials related to the Offer are available free of charge at www.sec.gov.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360" w:after="0"/>
        <w:jc w:val="left"/>
        <w:rPr>
          <w:rFonts w:ascii="Times New Roman" w:hAnsi="Times New Roman"/>
          <w:sz w:val="20"/>
        </w:rPr>
      </w:pPr>
      <w:r>
        <w:rPr>
          <w:rFonts w:ascii="Times New Roman" w:hAnsi="Times New Roman"/>
          <w:sz w:val="20"/>
        </w:rPr>
        <w:t xml:space="preserve">GEORGESON LLC </w:t>
      </w:r>
    </w:p>
    <w:p>
      <w:pPr>
        <w:pStyle w:val="TextBody"/>
        <w:bidi w:val="0"/>
        <w:spacing w:before="240" w:after="0"/>
        <w:jc w:val="left"/>
        <w:rPr>
          <w:rFonts w:ascii="Times New Roman" w:hAnsi="Times New Roman"/>
          <w:b/>
          <w:sz w:val="20"/>
        </w:rPr>
      </w:pPr>
      <w:r>
        <w:rPr>
          <w:rFonts w:ascii="Times New Roman" w:hAnsi="Times New Roman"/>
          <w:b/>
          <w:sz w:val="20"/>
        </w:rPr>
        <w:t xml:space="preserve">Nothing contained herein or in the enclosed documents shall render you, the agent of Lilly, Purchaser, the Information Agent, the Depositary or any affiliate of any of them or authorize you or any other person to use any document or make any statement on behalf of any of them in connection with the Offer other than the enclosed documents and the statements contained therein. </w:t>
      </w:r>
    </w:p>
    <w:p>
      <w:pPr>
        <w:pStyle w:val="TextBody"/>
        <w:bidi w:val="0"/>
        <w:spacing w:before="240" w:after="0"/>
        <w:jc w:val="center"/>
        <w:rPr>
          <w:rFonts w:ascii="Times New Roman" w:hAnsi="Times New Roman"/>
          <w:sz w:val="20"/>
        </w:rPr>
      </w:pPr>
      <w:r>
        <w:rPr>
          <w:rFonts w:ascii="Times New Roman" w:hAnsi="Times New Roman"/>
          <w:sz w:val="20"/>
        </w:rPr>
        <w:t xml:space="preserve">The Information Agent for the Offer is: </w:t>
      </w:r>
    </w:p>
    <w:p>
      <w:pPr>
        <w:pStyle w:val="TextBody"/>
        <w:bidi w:val="0"/>
        <w:spacing w:before="0" w:after="0"/>
        <w:jc w:val="left"/>
        <w:rPr/>
      </w:pPr>
      <w:r>
        <w:rPr/>
        <w:t> </w:t>
      </w:r>
    </w:p>
    <w:p>
      <w:pPr>
        <w:pStyle w:val="TextBody"/>
        <w:bidi w:val="0"/>
        <w:spacing w:before="0" w:after="0"/>
        <w:jc w:val="center"/>
        <w:rPr/>
      </w:pPr>
      <w:r>
        <w:rPr/>
        <w:drawing>
          <wp:inline distT="0" distB="0" distL="0" distR="0">
            <wp:extent cx="2023745" cy="702945"/>
            <wp:effectExtent l="0" t="0" r="0" b="0"/>
            <wp:docPr id="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7" descr=""/>
                    <pic:cNvPicPr>
                      <a:picLocks noChangeAspect="1" noChangeArrowheads="1"/>
                    </pic:cNvPicPr>
                  </pic:nvPicPr>
                  <pic:blipFill>
                    <a:blip r:embed="rId12"/>
                    <a:stretch>
                      <a:fillRect/>
                    </a:stretch>
                  </pic:blipFill>
                  <pic:spPr bwMode="auto">
                    <a:xfrm>
                      <a:off x="0" y="0"/>
                      <a:ext cx="2023745" cy="702945"/>
                    </a:xfrm>
                    <a:prstGeom prst="rect">
                      <a:avLst/>
                    </a:prstGeom>
                  </pic:spPr>
                </pic:pic>
              </a:graphicData>
            </a:graphic>
          </wp:inline>
        </w:drawing>
      </w:r>
      <w:r>
        <w:rPr/>
        <w:t xml:space="preserve"> </w:t>
      </w:r>
    </w:p>
    <w:p>
      <w:pPr>
        <w:pStyle w:val="TextBody"/>
        <w:bidi w:val="0"/>
        <w:spacing w:before="0" w:after="0"/>
        <w:jc w:val="center"/>
        <w:rPr>
          <w:rFonts w:ascii="Times New Roman" w:hAnsi="Times New Roman"/>
          <w:b/>
          <w:sz w:val="20"/>
        </w:rPr>
      </w:pPr>
      <w:r>
        <w:rPr>
          <w:rFonts w:ascii="Times New Roman" w:hAnsi="Times New Roman"/>
          <w:b/>
          <w:sz w:val="20"/>
        </w:rPr>
        <w:t xml:space="preserve">Georgeson LLC </w:t>
      </w:r>
    </w:p>
    <w:p>
      <w:pPr>
        <w:pStyle w:val="TextBody"/>
        <w:bidi w:val="0"/>
        <w:spacing w:before="0" w:after="0"/>
        <w:jc w:val="center"/>
        <w:rPr>
          <w:rFonts w:ascii="Times New Roman" w:hAnsi="Times New Roman"/>
          <w:b/>
          <w:sz w:val="20"/>
        </w:rPr>
      </w:pPr>
      <w:r>
        <w:rPr>
          <w:rFonts w:ascii="Times New Roman" w:hAnsi="Times New Roman"/>
          <w:b/>
          <w:sz w:val="20"/>
        </w:rPr>
        <w:t xml:space="preserve">51 West 52nd Street, 6th Floor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NY 10019 </w:t>
      </w:r>
    </w:p>
    <w:p>
      <w:pPr>
        <w:pStyle w:val="TextBody"/>
        <w:bidi w:val="0"/>
        <w:spacing w:before="0" w:after="0"/>
        <w:jc w:val="center"/>
        <w:rPr>
          <w:rFonts w:ascii="Times New Roman" w:hAnsi="Times New Roman"/>
          <w:b/>
          <w:sz w:val="20"/>
        </w:rPr>
      </w:pPr>
      <w:r>
        <w:rPr>
          <w:rFonts w:ascii="Times New Roman" w:hAnsi="Times New Roman"/>
          <w:b/>
          <w:sz w:val="20"/>
        </w:rPr>
        <w:t xml:space="preserve">Shareholders, Banks and Brokers </w:t>
      </w:r>
    </w:p>
    <w:p>
      <w:pPr>
        <w:pStyle w:val="TextBody"/>
        <w:bidi w:val="0"/>
        <w:spacing w:before="0" w:after="0"/>
        <w:jc w:val="center"/>
        <w:rPr>
          <w:rFonts w:ascii="Times New Roman" w:hAnsi="Times New Roman"/>
          <w:b/>
          <w:sz w:val="20"/>
        </w:rPr>
      </w:pPr>
      <w:r>
        <w:rPr>
          <w:rFonts w:ascii="Times New Roman" w:hAnsi="Times New Roman"/>
          <w:b/>
          <w:sz w:val="20"/>
        </w:rPr>
        <w:t xml:space="preserve">Toll Free: (888) 446-9207 </w:t>
      </w:r>
    </w:p>
    <w:p>
      <w:pPr>
        <w:pStyle w:val="TextBody"/>
        <w:bidi w:val="0"/>
        <w:spacing w:before="0" w:after="0"/>
        <w:jc w:val="center"/>
        <w:rPr>
          <w:rFonts w:ascii="Times New Roman" w:hAnsi="Times New Roman"/>
          <w:b/>
          <w:sz w:val="20"/>
        </w:rPr>
      </w:pPr>
      <w:r>
        <w:rPr>
          <w:rFonts w:ascii="Times New Roman" w:hAnsi="Times New Roman"/>
          <w:b/>
          <w:sz w:val="20"/>
        </w:rPr>
        <w:t xml:space="preserve">Outside the U.S. and Canada: (862) 243-7027 </w:t>
      </w:r>
    </w:p>
    <w:p>
      <w:pPr>
        <w:pStyle w:val="TextBody"/>
        <w:bidi w:val="0"/>
        <w:spacing w:before="0" w:after="0"/>
        <w:jc w:val="center"/>
        <w:rPr>
          <w:rFonts w:ascii="Times New Roman" w:hAnsi="Times New Roman"/>
          <w:b/>
          <w:sz w:val="20"/>
        </w:rPr>
      </w:pPr>
      <w:r>
        <w:rPr>
          <w:rFonts w:ascii="Times New Roman" w:hAnsi="Times New Roman"/>
          <w:b/>
          <w:sz w:val="20"/>
        </w:rPr>
        <w:t xml:space="preserve">Email: Adverumoffer@georgeson.com </w:t>
      </w:r>
    </w:p>
    <w:p>
      <w:pPr>
        <w:pStyle w:val="TextBody"/>
        <w:bidi w:val="0"/>
        <w:spacing w:before="0" w:after="0"/>
        <w:jc w:val="right"/>
        <w:rPr>
          <w:rFonts w:ascii="Times New Roman" w:hAnsi="Times New Roman"/>
          <w:b/>
          <w:sz w:val="20"/>
        </w:rPr>
      </w:pPr>
      <w:bookmarkStart w:id="31" w:name="d67752dex99a1d.htm"/>
      <w:bookmarkStart w:id="32" w:name="ksd67752dex99a1d"/>
      <w:bookmarkEnd w:id="31"/>
      <w:bookmarkEnd w:id="32"/>
      <w:r>
        <w:rPr>
          <w:rFonts w:ascii="Times New Roman" w:hAnsi="Times New Roman"/>
          <w:b/>
          <w:sz w:val="20"/>
        </w:rPr>
        <w:t xml:space="preserve">Exhibit (a)(1)(D)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Offer to Purchase </w:t>
      </w:r>
    </w:p>
    <w:p>
      <w:pPr>
        <w:pStyle w:val="TextBody"/>
        <w:bidi w:val="0"/>
        <w:spacing w:before="120" w:after="0"/>
        <w:jc w:val="center"/>
        <w:rPr>
          <w:rFonts w:ascii="Times New Roman" w:hAnsi="Times New Roman"/>
          <w:b/>
          <w:sz w:val="20"/>
        </w:rPr>
      </w:pPr>
      <w:r>
        <w:rPr>
          <w:rFonts w:ascii="Times New Roman" w:hAnsi="Times New Roman"/>
          <w:b/>
          <w:sz w:val="20"/>
        </w:rPr>
        <w:t xml:space="preserve">All Outstanding Shares of Common Stock </w:t>
      </w:r>
    </w:p>
    <w:p>
      <w:pPr>
        <w:pStyle w:val="TextBody"/>
        <w:bidi w:val="0"/>
        <w:spacing w:before="120" w:after="0"/>
        <w:jc w:val="center"/>
        <w:rPr>
          <w:rFonts w:ascii="Times New Roman" w:hAnsi="Times New Roman"/>
          <w:b/>
          <w:sz w:val="20"/>
        </w:rPr>
      </w:pPr>
      <w:r>
        <w:rPr>
          <w:rFonts w:ascii="Times New Roman" w:hAnsi="Times New Roman"/>
          <w:b/>
          <w:sz w:val="20"/>
        </w:rPr>
        <w:t xml:space="preserve">of </w:t>
      </w:r>
    </w:p>
    <w:p>
      <w:pPr>
        <w:pStyle w:val="TextBody"/>
        <w:bidi w:val="0"/>
        <w:spacing w:before="120" w:after="0"/>
        <w:jc w:val="center"/>
        <w:rPr>
          <w:rFonts w:ascii="Times New Roman" w:hAnsi="Times New Roman"/>
          <w:b/>
          <w:sz w:val="20"/>
        </w:rPr>
      </w:pPr>
      <w:r>
        <w:rPr>
          <w:rFonts w:ascii="Times New Roman" w:hAnsi="Times New Roman"/>
          <w:b/>
          <w:sz w:val="20"/>
        </w:rPr>
        <w:t xml:space="preserve">ADVERUM BIOTECHNOLOGIES, INC. </w:t>
      </w:r>
    </w:p>
    <w:p>
      <w:pPr>
        <w:pStyle w:val="TextBody"/>
        <w:bidi w:val="0"/>
        <w:spacing w:before="120" w:after="0"/>
        <w:jc w:val="center"/>
        <w:rPr>
          <w:rFonts w:ascii="Times New Roman" w:hAnsi="Times New Roman"/>
          <w:b/>
          <w:sz w:val="20"/>
        </w:rPr>
      </w:pPr>
      <w:r>
        <w:rPr>
          <w:rFonts w:ascii="Times New Roman" w:hAnsi="Times New Roman"/>
          <w:b/>
          <w:sz w:val="20"/>
        </w:rPr>
        <w:t xml:space="preserve">at </w:t>
      </w:r>
    </w:p>
    <w:p>
      <w:pPr>
        <w:pStyle w:val="TextBody"/>
        <w:bidi w:val="0"/>
        <w:spacing w:before="0" w:after="0"/>
        <w:jc w:val="center"/>
        <w:rPr>
          <w:rFonts w:ascii="Times New Roman" w:hAnsi="Times New Roman"/>
          <w:b/>
          <w:sz w:val="20"/>
        </w:rPr>
      </w:pPr>
      <w:r>
        <w:rPr>
          <w:rFonts w:ascii="Times New Roman" w:hAnsi="Times New Roman"/>
          <w:b/>
          <w:sz w:val="20"/>
        </w:rPr>
        <w:t xml:space="preserve">$3.56 per share, net to the stockholder in cash, without interest and less any applicable tax withholding, </w:t>
      </w:r>
    </w:p>
    <w:p>
      <w:pPr>
        <w:pStyle w:val="TextBody"/>
        <w:bidi w:val="0"/>
        <w:spacing w:before="0" w:after="0"/>
        <w:jc w:val="center"/>
        <w:rPr>
          <w:rFonts w:ascii="Times New Roman" w:hAnsi="Times New Roman"/>
          <w:sz w:val="20"/>
        </w:rPr>
      </w:pPr>
      <w:r>
        <w:rPr>
          <w:rFonts w:ascii="Times New Roman" w:hAnsi="Times New Roman"/>
          <w:b/>
          <w:i/>
          <w:sz w:val="20"/>
        </w:rPr>
        <w:t>plus</w:t>
      </w:r>
      <w:r>
        <w:rPr>
          <w:rFonts w:ascii="Times New Roman" w:hAnsi="Times New Roman"/>
          <w:sz w:val="20"/>
        </w:rPr>
        <w:t xml:space="preserve"> </w:t>
      </w:r>
      <w:r>
        <w:rPr>
          <w:rFonts w:ascii="Times New Roman" w:hAnsi="Times New Roman"/>
          <w:b/>
          <w:sz w:val="20"/>
        </w:rPr>
        <w:t xml:space="preserve">one non-tradable contingent value right (“CVR”) per share, </w:t>
      </w:r>
    </w:p>
    <w:p>
      <w:pPr>
        <w:pStyle w:val="TextBody"/>
        <w:bidi w:val="0"/>
        <w:spacing w:before="0" w:after="0"/>
        <w:jc w:val="center"/>
        <w:rPr>
          <w:rFonts w:ascii="Times New Roman" w:hAnsi="Times New Roman"/>
          <w:b/>
          <w:sz w:val="20"/>
        </w:rPr>
      </w:pPr>
      <w:r>
        <w:rPr>
          <w:rFonts w:ascii="Times New Roman" w:hAnsi="Times New Roman"/>
          <w:b/>
          <w:sz w:val="20"/>
        </w:rPr>
        <w:t xml:space="preserve">which represents the contractual right to receive up to two contingent cash payments of up to an aggregate of $8.91 per CVR, net to the </w:t>
      </w:r>
    </w:p>
    <w:p>
      <w:pPr>
        <w:pStyle w:val="TextBody"/>
        <w:bidi w:val="0"/>
        <w:spacing w:before="0" w:after="0"/>
        <w:jc w:val="center"/>
        <w:rPr>
          <w:rFonts w:ascii="Times New Roman" w:hAnsi="Times New Roman"/>
          <w:b/>
          <w:sz w:val="20"/>
        </w:rPr>
      </w:pPr>
      <w:r>
        <w:rPr>
          <w:rFonts w:ascii="Times New Roman" w:hAnsi="Times New Roman"/>
          <w:b/>
          <w:sz w:val="20"/>
        </w:rPr>
        <w:t xml:space="preserve">stockholder in cash, without interest and less any applicable tax withholding, upon the achievement of </w:t>
      </w:r>
    </w:p>
    <w:p>
      <w:pPr>
        <w:pStyle w:val="TextBody"/>
        <w:bidi w:val="0"/>
        <w:spacing w:before="0" w:after="0"/>
        <w:jc w:val="center"/>
        <w:rPr>
          <w:rFonts w:ascii="Times New Roman" w:hAnsi="Times New Roman"/>
          <w:b/>
          <w:sz w:val="20"/>
        </w:rPr>
      </w:pPr>
      <w:r>
        <w:rPr>
          <w:rFonts w:ascii="Times New Roman" w:hAnsi="Times New Roman"/>
          <w:b/>
          <w:sz w:val="20"/>
        </w:rPr>
        <w:t xml:space="preserve">certain specified milestones </w:t>
      </w:r>
    </w:p>
    <w:p>
      <w:pPr>
        <w:pStyle w:val="TextBody"/>
        <w:bidi w:val="0"/>
        <w:spacing w:before="120" w:after="0"/>
        <w:jc w:val="center"/>
        <w:rPr>
          <w:rFonts w:ascii="Times New Roman" w:hAnsi="Times New Roman"/>
          <w:b/>
          <w:sz w:val="20"/>
        </w:rPr>
      </w:pPr>
      <w:r>
        <w:rPr>
          <w:rFonts w:ascii="Times New Roman" w:hAnsi="Times New Roman"/>
          <w:b/>
          <w:sz w:val="20"/>
        </w:rPr>
        <w:t xml:space="preserve">Pursuant to the Offer to Purchase dated November 7, 2025 </w:t>
      </w:r>
    </w:p>
    <w:p>
      <w:pPr>
        <w:pStyle w:val="TextBody"/>
        <w:bidi w:val="0"/>
        <w:spacing w:before="120" w:after="0"/>
        <w:jc w:val="center"/>
        <w:rPr>
          <w:rFonts w:ascii="Times New Roman" w:hAnsi="Times New Roman"/>
          <w:b/>
          <w:sz w:val="20"/>
        </w:rPr>
      </w:pPr>
      <w:r>
        <w:rPr>
          <w:rFonts w:ascii="Times New Roman" w:hAnsi="Times New Roman"/>
          <w:b/>
          <w:sz w:val="20"/>
        </w:rPr>
        <w:t xml:space="preserve">by </w:t>
      </w:r>
    </w:p>
    <w:p>
      <w:pPr>
        <w:pStyle w:val="TextBody"/>
        <w:bidi w:val="0"/>
        <w:spacing w:before="120" w:after="0"/>
        <w:jc w:val="center"/>
        <w:rPr>
          <w:rFonts w:ascii="Times New Roman" w:hAnsi="Times New Roman"/>
          <w:b/>
          <w:sz w:val="20"/>
        </w:rPr>
      </w:pPr>
      <w:r>
        <w:rPr>
          <w:rFonts w:ascii="Times New Roman" w:hAnsi="Times New Roman"/>
          <w:b/>
          <w:sz w:val="20"/>
        </w:rPr>
        <w:t xml:space="preserve">FLYING TIGERS ACQUISITION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a direct wholly-owned subsidiary </w:t>
      </w:r>
    </w:p>
    <w:p>
      <w:pPr>
        <w:pStyle w:val="TextBody"/>
        <w:bidi w:val="0"/>
        <w:spacing w:before="120" w:after="0"/>
        <w:jc w:val="center"/>
        <w:rPr>
          <w:rFonts w:ascii="Times New Roman" w:hAnsi="Times New Roman"/>
          <w:b/>
          <w:sz w:val="20"/>
        </w:rPr>
      </w:pPr>
      <w:r>
        <w:rPr>
          <w:rFonts w:ascii="Times New Roman" w:hAnsi="Times New Roman"/>
          <w:b/>
          <w:sz w:val="20"/>
        </w:rPr>
        <w:t xml:space="preserve">of </w:t>
      </w:r>
    </w:p>
    <w:p>
      <w:pPr>
        <w:pStyle w:val="TextBody"/>
        <w:bidi w:val="0"/>
        <w:spacing w:before="120" w:after="0"/>
        <w:jc w:val="center"/>
        <w:rPr>
          <w:rFonts w:ascii="Times New Roman" w:hAnsi="Times New Roman"/>
          <w:b/>
          <w:sz w:val="20"/>
        </w:rPr>
      </w:pPr>
      <w:r>
        <w:rPr>
          <w:rFonts w:ascii="Times New Roman" w:hAnsi="Times New Roman"/>
          <w:b/>
          <w:sz w:val="20"/>
        </w:rPr>
        <w:t xml:space="preserve">ELI LILLY AND COMPANY </w:t>
      </w:r>
    </w:p>
    <w:p>
      <w:pPr>
        <w:pStyle w:val="TextBody"/>
        <w:bidi w:val="0"/>
        <w:spacing w:before="120" w:after="0"/>
        <w:jc w:val="center"/>
        <w:rPr>
          <w:rFonts w:ascii="Times New Roman" w:hAnsi="Times New Roman"/>
          <w:b/>
          <w:sz w:val="20"/>
        </w:rPr>
      </w:pPr>
      <w:r>
        <w:rPr>
          <w:rFonts w:ascii="Times New Roman" w:hAnsi="Times New Roman"/>
          <w:b/>
          <w:sz w:val="20"/>
        </w:rPr>
        <w:t xml:space="preserve">THE OFFER AND WITHDRAWAL RIGHTS WILL EXPIRE AT ONE MINUTE PAST 11:59 P.M., </w:t>
      </w:r>
    </w:p>
    <w:p>
      <w:pPr>
        <w:pStyle w:val="TextBody"/>
        <w:bidi w:val="0"/>
        <w:spacing w:before="0" w:after="0"/>
        <w:jc w:val="center"/>
        <w:rPr>
          <w:rFonts w:ascii="Times New Roman" w:hAnsi="Times New Roman"/>
          <w:b/>
          <w:sz w:val="20"/>
        </w:rPr>
      </w:pPr>
      <w:r>
        <w:rPr>
          <w:rFonts w:ascii="Times New Roman" w:hAnsi="Times New Roman"/>
          <w:b/>
          <w:sz w:val="20"/>
        </w:rPr>
        <w:t xml:space="preserve">EASTERN TIME, ON DECEMBER 8, 2025, UNLESS THE OFFER IS EXTENDED OR EARLIER </w:t>
      </w:r>
    </w:p>
    <w:p>
      <w:pPr>
        <w:pStyle w:val="TextBody"/>
        <w:bidi w:val="0"/>
        <w:spacing w:before="0" w:after="0"/>
        <w:jc w:val="center"/>
        <w:rPr>
          <w:rFonts w:ascii="Times New Roman" w:hAnsi="Times New Roman"/>
          <w:b/>
          <w:sz w:val="20"/>
        </w:rPr>
      </w:pPr>
      <w:r>
        <w:rPr>
          <w:rFonts w:ascii="Times New Roman" w:hAnsi="Times New Roman"/>
          <w:b/>
          <w:sz w:val="20"/>
        </w:rPr>
        <w:t xml:space="preserve">TERMINATED. </w:t>
      </w:r>
    </w:p>
    <w:p>
      <w:pPr>
        <w:pStyle w:val="TextBody"/>
        <w:bidi w:val="0"/>
        <w:spacing w:before="240" w:after="0"/>
        <w:jc w:val="right"/>
        <w:rPr>
          <w:rFonts w:ascii="Times New Roman" w:hAnsi="Times New Roman"/>
          <w:sz w:val="20"/>
        </w:rPr>
      </w:pPr>
      <w:r>
        <w:rPr>
          <w:rFonts w:ascii="Times New Roman" w:hAnsi="Times New Roman"/>
          <w:sz w:val="20"/>
        </w:rPr>
        <w:t xml:space="preserve">November 7, 2025 </w:t>
      </w:r>
    </w:p>
    <w:p>
      <w:pPr>
        <w:pStyle w:val="TextBody"/>
        <w:bidi w:val="0"/>
        <w:spacing w:before="240" w:after="0"/>
        <w:jc w:val="left"/>
        <w:rPr>
          <w:rFonts w:ascii="Times New Roman" w:hAnsi="Times New Roman"/>
          <w:sz w:val="20"/>
        </w:rPr>
      </w:pPr>
      <w:r>
        <w:rPr>
          <w:rFonts w:ascii="Times New Roman" w:hAnsi="Times New Roman"/>
          <w:sz w:val="20"/>
        </w:rPr>
        <w:t xml:space="preserve">To Our Clients: </w:t>
      </w:r>
    </w:p>
    <w:p>
      <w:pPr>
        <w:pStyle w:val="TextBody"/>
        <w:bidi w:val="0"/>
        <w:spacing w:before="120" w:after="0"/>
        <w:jc w:val="left"/>
        <w:rPr>
          <w:rFonts w:ascii="Times New Roman" w:hAnsi="Times New Roman"/>
          <w:sz w:val="20"/>
        </w:rPr>
      </w:pPr>
      <w:r>
        <w:rPr>
          <w:rFonts w:ascii="Times New Roman" w:hAnsi="Times New Roman"/>
          <w:sz w:val="20"/>
        </w:rPr>
        <w:t xml:space="preserve">Enclosed for your consideration are the Offer to Purchase, dated November 7, 2025 (the “Offer to Purchase”), and the related Letter of Transmittal in connection with the offer by Flying Tigers Acquisition Corporation, a Delaware corporation (“Purchaser”) and a direct wholly-owned subsidiary of Eli Lilly and Company, an Indiana corporation (“Lilly”), to purchase all of the issued and outstanding shares of common stock, par value $0.0001 per share (the “Shares”), of Adverum Biotechnologies, Inc., a Delaware corporation (“Adverum”), in exchange for (i) $3.56 per Share, net to the stockholder in cash, without interest (the “Cash Consideration”) and less any applicable tax withholding, plus (ii) one non-tradable CVR per Share, which represents the contractual right to receive up to two contingent cash payments of up to an aggregate of $8.91 per CVR, net to the stockholder in cash, without interest and less any applicable tax withholding, upon the achievement of certain specified milestones, all in accordance with the terms and subject to the conditions and other provisions of a contingent value rights agreement (the “CVR Agreement”) to be entered into by and among Lilly, Computershare, Inc., a Delaware corporation, and its affiliate, Computershare Trust Company, N.A., a federally chartered trust company (the Cash Consideration plus one CVR, collectively, the “Offer Price”), upon the terms and subject to the conditions set forth in the Offer to Purchase and in the related Letter of Transmittal (which, together with the Offer to Purchase, as each may be amended or supplemented from time to time, collectively constitute the “Offer”). The CVR Agreement contains important terms, conditions and other provisions relating to any potential payment in respect of the CVRs. It is possible that no payment or a payment of less than $8.91 per CVR will become payable in respect of the CVRs. See Section 11—“The Merger Agreement; Other Agreements—CVR Agreement” of the Offer to Purchase. </w:t>
      </w:r>
    </w:p>
    <w:p>
      <w:pPr>
        <w:pStyle w:val="TextBody"/>
        <w:bidi w:val="0"/>
        <w:spacing w:before="240" w:after="0"/>
        <w:jc w:val="left"/>
        <w:rPr>
          <w:rFonts w:ascii="Times New Roman" w:hAnsi="Times New Roman"/>
          <w:sz w:val="20"/>
        </w:rPr>
      </w:pPr>
      <w:r>
        <w:rPr>
          <w:rFonts w:ascii="Times New Roman" w:hAnsi="Times New Roman"/>
          <w:sz w:val="20"/>
        </w:rPr>
        <w:t>Also enclosed is Adverum’s Solicitation/Recommendation Statement on Schedule 14D-9.</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THE BOARD OF DIRECTORS OF ADVERUM UNANIMOUSLY RESOLVED TO RECOMMEND THAT YOU TENDER ALL OF YOUR SHARES IN THE OFFER. </w:t>
      </w:r>
    </w:p>
    <w:p>
      <w:pPr>
        <w:pStyle w:val="TextBody"/>
        <w:bidi w:val="0"/>
        <w:spacing w:before="240" w:after="0"/>
        <w:jc w:val="left"/>
        <w:rPr>
          <w:rFonts w:ascii="Times New Roman" w:hAnsi="Times New Roman"/>
          <w:sz w:val="20"/>
        </w:rPr>
      </w:pPr>
      <w:r>
        <w:rPr>
          <w:rFonts w:ascii="Times New Roman" w:hAnsi="Times New Roman"/>
          <w:sz w:val="20"/>
        </w:rPr>
        <w:t xml:space="preserve">We or our nominees are the holder of record of Shares held for your account. A tender of such Shares can be made only by us as the holder of record and pursuant to your instructions. The Letter of Transmittal is furnished to you for your information only and cannot be used by you to tender Shares held by us or our nominees for your account. </w:t>
      </w:r>
    </w:p>
    <w:p>
      <w:pPr>
        <w:pStyle w:val="TextBody"/>
        <w:bidi w:val="0"/>
        <w:spacing w:before="240" w:after="0"/>
        <w:jc w:val="left"/>
        <w:rPr>
          <w:rFonts w:ascii="Times New Roman" w:hAnsi="Times New Roman"/>
          <w:sz w:val="20"/>
        </w:rPr>
      </w:pPr>
      <w:r>
        <w:rPr>
          <w:rFonts w:ascii="Times New Roman" w:hAnsi="Times New Roman"/>
          <w:sz w:val="20"/>
        </w:rPr>
        <w:t xml:space="preserve">We request instructions as to whether you wish us to tender any or all of the Shares held by us or our nominees for your account, upon the terms and subject to the conditions set forth in the enclosed Offer to Purchase and the Letter of Transmittal. </w:t>
      </w:r>
    </w:p>
    <w:p>
      <w:pPr>
        <w:pStyle w:val="TextBody"/>
        <w:bidi w:val="0"/>
        <w:spacing w:before="240" w:after="0"/>
        <w:jc w:val="left"/>
        <w:rPr>
          <w:rFonts w:ascii="Times New Roman" w:hAnsi="Times New Roman"/>
          <w:sz w:val="20"/>
        </w:rPr>
      </w:pPr>
      <w:r>
        <w:rPr>
          <w:rFonts w:ascii="Times New Roman" w:hAnsi="Times New Roman"/>
          <w:sz w:val="20"/>
        </w:rPr>
        <w:t xml:space="preserve">Please note carefully the following: </w:t>
      </w:r>
    </w:p>
    <w:p>
      <w:pPr>
        <w:pStyle w:val="TextBody"/>
        <w:bidi w:val="0"/>
        <w:spacing w:before="120" w:after="0"/>
        <w:jc w:val="left"/>
        <w:rPr>
          <w:rFonts w:ascii="Times New Roman" w:hAnsi="Times New Roman"/>
          <w:sz w:val="20"/>
        </w:rPr>
      </w:pPr>
      <w:r>
        <w:rPr>
          <w:rFonts w:ascii="Times New Roman" w:hAnsi="Times New Roman"/>
          <w:sz w:val="20"/>
        </w:rPr>
        <w:t xml:space="preserve">1. The Offer Price for the Offer is (i) the Cash Consideration, </w:t>
      </w:r>
      <w:r>
        <w:rPr>
          <w:rFonts w:ascii="Times New Roman" w:hAnsi="Times New Roman"/>
          <w:i/>
          <w:sz w:val="20"/>
        </w:rPr>
        <w:t>plus</w:t>
      </w:r>
      <w:r>
        <w:rPr>
          <w:rFonts w:ascii="Times New Roman" w:hAnsi="Times New Roman"/>
          <w:sz w:val="20"/>
        </w:rPr>
        <w:t xml:space="preserve"> (ii) one non-tradable CVR per Share, which represents the contractual right to receive up to two contingent cash payments of up to an aggregate of $8.91 per CVR, net to the stockholder in cash, without interest and less any applicable tax withholding, upon the achievement of certain specified milestones, all in accordance with the terms and subject to the conditions and other provisions set forth in the CVR Agreement. The CVR Agreement contains important terms, conditions and other provisions relating to any potential payment in respect of the CVRs. It is possible that no payment or a payment of less than $8.91 per CVR will become payable in respect of the CVRs. See Section 11 of the Offer to Purchase. </w:t>
      </w:r>
    </w:p>
    <w:p>
      <w:pPr>
        <w:pStyle w:val="TextBody"/>
        <w:bidi w:val="0"/>
        <w:spacing w:before="240" w:after="0"/>
        <w:jc w:val="left"/>
        <w:rPr>
          <w:rFonts w:ascii="Times New Roman" w:hAnsi="Times New Roman"/>
          <w:sz w:val="20"/>
        </w:rPr>
      </w:pPr>
      <w:r>
        <w:rPr>
          <w:rFonts w:ascii="Times New Roman" w:hAnsi="Times New Roman"/>
          <w:sz w:val="20"/>
        </w:rPr>
        <w:t xml:space="preserve">2. The Offer is being made for all issued and outstanding Shares. </w:t>
      </w:r>
    </w:p>
    <w:p>
      <w:pPr>
        <w:pStyle w:val="TextBody"/>
        <w:bidi w:val="0"/>
        <w:spacing w:before="240" w:after="0"/>
        <w:jc w:val="left"/>
        <w:rPr>
          <w:rFonts w:ascii="Times New Roman" w:hAnsi="Times New Roman"/>
          <w:sz w:val="20"/>
        </w:rPr>
      </w:pPr>
      <w:r>
        <w:rPr>
          <w:rFonts w:ascii="Times New Roman" w:hAnsi="Times New Roman"/>
          <w:sz w:val="20"/>
        </w:rPr>
        <w:t xml:space="preserve">3. The Offer is being made pursuant to an Agreement and Plan of Merger, dated October 24, 2025 (as it may be amended from time to time, the “Merger Agreement”), by and among Adverum, Lilly and Purchaser, pursuant to which, after consummation of the Offer and subject to the satisfaction or waiver of certain conditions, Purchaser will merge with and into Adverum pursuant to Section 251(h) of the General Corporation Law of the State of Delaware (the “DGCL”), upon the terms and subject to the conditions set forth in the Merger Agreement, with Adverum continuing as the surviving corporation and becoming a direct wholly-owned subsidiary of Lilly (the “Merger”). </w:t>
      </w:r>
    </w:p>
    <w:p>
      <w:pPr>
        <w:pStyle w:val="TextBody"/>
        <w:bidi w:val="0"/>
        <w:spacing w:before="240" w:after="0"/>
        <w:jc w:val="left"/>
        <w:rPr>
          <w:rFonts w:ascii="Times New Roman" w:hAnsi="Times New Roman"/>
          <w:sz w:val="20"/>
        </w:rPr>
      </w:pPr>
      <w:r>
        <w:rPr>
          <w:rFonts w:ascii="Times New Roman" w:hAnsi="Times New Roman"/>
          <w:sz w:val="20"/>
        </w:rPr>
        <w:t xml:space="preserve">4. At the effective time of the Merger (the “Effective Time”), each Share issued and outstanding immediately prior to the Effective Time (other than (i) Shares held in the treasury of Adverum or owned by Adverum, (ii) Shares owned by Lilly, Purchaser or any direct or indirect wholly-owned subsidiary of Lilly or Purchaser or (iii) Shares that are held by stockholders who are entitled to demand and properly exercised and perfected their respective demands for appraisal for such Shares in accordance with Section 262 of the DGCL) will be converted into the right to receive the Offer Price, without interest, from Purchaser, less any applicable tax withholding. </w:t>
      </w:r>
    </w:p>
    <w:p>
      <w:pPr>
        <w:pStyle w:val="TextBody"/>
        <w:bidi w:val="0"/>
        <w:spacing w:before="240" w:after="0"/>
        <w:jc w:val="left"/>
        <w:rPr>
          <w:rFonts w:ascii="Times New Roman" w:hAnsi="Times New Roman"/>
          <w:sz w:val="20"/>
        </w:rPr>
      </w:pPr>
      <w:r>
        <w:rPr>
          <w:rFonts w:ascii="Times New Roman" w:hAnsi="Times New Roman"/>
          <w:sz w:val="20"/>
        </w:rPr>
        <w:t xml:space="preserve">5. The Board of Directors of Adverum unanimously (i) determined that the Merger Agreement and the transactions contemplated thereby (the “Transactions”) are advisable, fair to, and in the best interests of, Adverum and the holders of the Shares, (ii) duly authorized and approved the execution and delivery of the Merger Agreement, the performance by Adverum of its covenants and other obligations thereunder, and the consummation of the Transactions upon the terms and subject to the conditions set forth therein, (iii) resolved that the Merger Agreement and the Transactions will be governed by and effected under Section 251(h) and other relevant provisions of the DGCL and (iv) resolved to recommend that Adverum stockholders accept the Offer and tender their Shares pursuant to the Offer. </w:t>
      </w:r>
    </w:p>
    <w:p>
      <w:pPr>
        <w:pStyle w:val="TextBody"/>
        <w:bidi w:val="0"/>
        <w:spacing w:before="240" w:after="0"/>
        <w:jc w:val="left"/>
        <w:rPr>
          <w:rFonts w:ascii="Times New Roman" w:hAnsi="Times New Roman"/>
          <w:sz w:val="20"/>
        </w:rPr>
      </w:pPr>
      <w:r>
        <w:rPr>
          <w:rFonts w:ascii="Times New Roman" w:hAnsi="Times New Roman"/>
          <w:sz w:val="20"/>
        </w:rPr>
        <w:t xml:space="preserve">6. The Offer and withdrawal rights will expire at the Expiration Time. The term “Expiration Time” means one minute past 11:59 p.m., Eastern Time, on December 8, 2025, unless the expiration of the Offer is extended to a subsequent date in accordance with the terms of the Merger Agreement, in which case the term “Expiration Time” means such subsequent time on such subsequent date. </w:t>
      </w:r>
    </w:p>
    <w:p>
      <w:pPr>
        <w:pStyle w:val="TextBody"/>
        <w:bidi w:val="0"/>
        <w:spacing w:before="240" w:after="0"/>
        <w:jc w:val="left"/>
        <w:rPr>
          <w:rFonts w:ascii="Times New Roman" w:hAnsi="Times New Roman"/>
          <w:sz w:val="20"/>
        </w:rPr>
      </w:pPr>
      <w:r>
        <w:rPr>
          <w:rFonts w:ascii="Times New Roman" w:hAnsi="Times New Roman"/>
          <w:sz w:val="20"/>
        </w:rPr>
        <w:t xml:space="preserve">7. The Offer and the Merger are not subject to any financing condition. The Offer is subject to the conditions described in Section 15 of the Offer to Purchase.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you wish to have us tender any or all of your Shares, please so instruct us by completing, executing, detaching and returning to us the Instruction Form on the detachable part hereof. An envelope to return your instructions to us is enclosed. If you authorize tender of your Shares, all such Shares will be tendered unless otherwise specified on the Instruction Form. </w:t>
      </w:r>
    </w:p>
    <w:p>
      <w:pPr>
        <w:pStyle w:val="TextBody"/>
        <w:bidi w:val="0"/>
        <w:spacing w:before="360" w:after="0"/>
        <w:jc w:val="left"/>
        <w:rPr>
          <w:rFonts w:ascii="Times New Roman" w:hAnsi="Times New Roman"/>
          <w:b/>
          <w:sz w:val="20"/>
        </w:rPr>
      </w:pPr>
      <w:r>
        <w:rPr>
          <w:rFonts w:ascii="Times New Roman" w:hAnsi="Times New Roman"/>
          <w:b/>
          <w:sz w:val="20"/>
        </w:rPr>
        <w:t xml:space="preserve">Your prompt action is requested. Your Instruction Form should be forwarded to us in ample time to permit us to submit the tender on your behalf before the Expiration Time. </w:t>
      </w:r>
    </w:p>
    <w:p>
      <w:pPr>
        <w:pStyle w:val="TextBody"/>
        <w:bidi w:val="0"/>
        <w:spacing w:before="120" w:after="0"/>
        <w:jc w:val="left"/>
        <w:rPr>
          <w:rFonts w:ascii="Times New Roman" w:hAnsi="Times New Roman"/>
          <w:sz w:val="20"/>
        </w:rPr>
      </w:pPr>
      <w:r>
        <w:rPr>
          <w:rFonts w:ascii="Times New Roman" w:hAnsi="Times New Roman"/>
          <w:sz w:val="20"/>
        </w:rPr>
        <w:t xml:space="preserve">The Offer is not being made to (nor will tenders be accepted from or on behalf of) holders of Shares in any jurisdiction in which the making of the Offer or acceptance thereof would not be in compliance with the laws of such jurisdiction. In those jurisdictions where applicable laws or regulations require the Offer to be made by a licensed broker or dealer, the Offer will be deemed to be made on behalf of Purchaser by one or more registered brokers or dealers licensed under the laws of such jurisdiction to be designated by Purchaser.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INSTRUCTION FORM WITH RESPECT TO </w:t>
      </w:r>
    </w:p>
    <w:p>
      <w:pPr>
        <w:pStyle w:val="TextBody"/>
        <w:bidi w:val="0"/>
        <w:spacing w:before="120" w:after="0"/>
        <w:jc w:val="center"/>
        <w:rPr>
          <w:rFonts w:ascii="Times New Roman" w:hAnsi="Times New Roman"/>
          <w:b/>
          <w:sz w:val="20"/>
        </w:rPr>
      </w:pPr>
      <w:r>
        <w:rPr>
          <w:rFonts w:ascii="Times New Roman" w:hAnsi="Times New Roman"/>
          <w:b/>
          <w:sz w:val="20"/>
        </w:rPr>
        <w:t xml:space="preserve">Offer to Purchase </w:t>
      </w:r>
    </w:p>
    <w:p>
      <w:pPr>
        <w:pStyle w:val="TextBody"/>
        <w:bidi w:val="0"/>
        <w:spacing w:before="120" w:after="0"/>
        <w:jc w:val="center"/>
        <w:rPr>
          <w:rFonts w:ascii="Times New Roman" w:hAnsi="Times New Roman"/>
          <w:b/>
          <w:sz w:val="20"/>
        </w:rPr>
      </w:pPr>
      <w:r>
        <w:rPr>
          <w:rFonts w:ascii="Times New Roman" w:hAnsi="Times New Roman"/>
          <w:b/>
          <w:sz w:val="20"/>
        </w:rPr>
        <w:t xml:space="preserve">All Outstanding Shares of Common Stock </w:t>
      </w:r>
    </w:p>
    <w:p>
      <w:pPr>
        <w:pStyle w:val="TextBody"/>
        <w:bidi w:val="0"/>
        <w:spacing w:before="120" w:after="0"/>
        <w:jc w:val="center"/>
        <w:rPr>
          <w:rFonts w:ascii="Times New Roman" w:hAnsi="Times New Roman"/>
          <w:b/>
          <w:sz w:val="20"/>
        </w:rPr>
      </w:pPr>
      <w:r>
        <w:rPr>
          <w:rFonts w:ascii="Times New Roman" w:hAnsi="Times New Roman"/>
          <w:b/>
          <w:sz w:val="20"/>
        </w:rPr>
        <w:t xml:space="preserve">of </w:t>
      </w:r>
    </w:p>
    <w:p>
      <w:pPr>
        <w:pStyle w:val="TextBody"/>
        <w:bidi w:val="0"/>
        <w:spacing w:before="120" w:after="0"/>
        <w:jc w:val="center"/>
        <w:rPr>
          <w:rFonts w:ascii="Times New Roman" w:hAnsi="Times New Roman"/>
          <w:b/>
          <w:sz w:val="20"/>
        </w:rPr>
      </w:pPr>
      <w:r>
        <w:rPr>
          <w:rFonts w:ascii="Times New Roman" w:hAnsi="Times New Roman"/>
          <w:b/>
          <w:sz w:val="20"/>
        </w:rPr>
        <w:t xml:space="preserve">ADVERUM BIOTECHNOLOGIES, INC. </w:t>
      </w:r>
    </w:p>
    <w:p>
      <w:pPr>
        <w:pStyle w:val="TextBody"/>
        <w:bidi w:val="0"/>
        <w:spacing w:before="120" w:after="0"/>
        <w:jc w:val="center"/>
        <w:rPr>
          <w:rFonts w:ascii="Times New Roman" w:hAnsi="Times New Roman"/>
          <w:b/>
          <w:sz w:val="20"/>
        </w:rPr>
      </w:pPr>
      <w:r>
        <w:rPr>
          <w:rFonts w:ascii="Times New Roman" w:hAnsi="Times New Roman"/>
          <w:b/>
          <w:sz w:val="20"/>
        </w:rPr>
        <w:t xml:space="preserve">at </w:t>
      </w:r>
    </w:p>
    <w:p>
      <w:pPr>
        <w:pStyle w:val="TextBody"/>
        <w:bidi w:val="0"/>
        <w:spacing w:before="0" w:after="0"/>
        <w:jc w:val="center"/>
        <w:rPr>
          <w:rFonts w:ascii="Times New Roman" w:hAnsi="Times New Roman"/>
          <w:b/>
          <w:sz w:val="20"/>
        </w:rPr>
      </w:pPr>
      <w:r>
        <w:rPr>
          <w:rFonts w:ascii="Times New Roman" w:hAnsi="Times New Roman"/>
          <w:b/>
          <w:sz w:val="20"/>
        </w:rPr>
        <w:t xml:space="preserve">$3.56 per share, net to the stockholder in cash, without interest and less any applicable tax withholding, </w:t>
      </w:r>
    </w:p>
    <w:p>
      <w:pPr>
        <w:pStyle w:val="TextBody"/>
        <w:bidi w:val="0"/>
        <w:spacing w:before="0" w:after="0"/>
        <w:jc w:val="center"/>
        <w:rPr>
          <w:rFonts w:ascii="Times New Roman" w:hAnsi="Times New Roman"/>
          <w:sz w:val="20"/>
        </w:rPr>
      </w:pPr>
      <w:r>
        <w:rPr>
          <w:rFonts w:ascii="Times New Roman" w:hAnsi="Times New Roman"/>
          <w:b/>
          <w:i/>
          <w:sz w:val="20"/>
        </w:rPr>
        <w:t>plus</w:t>
      </w:r>
      <w:r>
        <w:rPr>
          <w:rFonts w:ascii="Times New Roman" w:hAnsi="Times New Roman"/>
          <w:sz w:val="20"/>
        </w:rPr>
        <w:t xml:space="preserve"> </w:t>
      </w:r>
      <w:r>
        <w:rPr>
          <w:rFonts w:ascii="Times New Roman" w:hAnsi="Times New Roman"/>
          <w:b/>
          <w:sz w:val="20"/>
        </w:rPr>
        <w:t xml:space="preserve">one non-tradable contingent value right (“CVR”) per share, </w:t>
      </w:r>
    </w:p>
    <w:p>
      <w:pPr>
        <w:pStyle w:val="TextBody"/>
        <w:bidi w:val="0"/>
        <w:spacing w:before="0" w:after="0"/>
        <w:jc w:val="center"/>
        <w:rPr>
          <w:rFonts w:ascii="Times New Roman" w:hAnsi="Times New Roman"/>
          <w:b/>
          <w:sz w:val="20"/>
        </w:rPr>
      </w:pPr>
      <w:r>
        <w:rPr>
          <w:rFonts w:ascii="Times New Roman" w:hAnsi="Times New Roman"/>
          <w:b/>
          <w:sz w:val="20"/>
        </w:rPr>
        <w:t xml:space="preserve">which represents the contractual right to receive up to two contingent cash payments of up to an aggregate of $8.91 per CVR, net to the </w:t>
      </w:r>
    </w:p>
    <w:p>
      <w:pPr>
        <w:pStyle w:val="TextBody"/>
        <w:bidi w:val="0"/>
        <w:spacing w:before="0" w:after="0"/>
        <w:jc w:val="center"/>
        <w:rPr>
          <w:rFonts w:ascii="Times New Roman" w:hAnsi="Times New Roman"/>
          <w:b/>
          <w:sz w:val="20"/>
        </w:rPr>
      </w:pPr>
      <w:r>
        <w:rPr>
          <w:rFonts w:ascii="Times New Roman" w:hAnsi="Times New Roman"/>
          <w:b/>
          <w:sz w:val="20"/>
        </w:rPr>
        <w:t xml:space="preserve">stockholder in cash, without interest and less any applicable tax withholding, upon the achievement of </w:t>
      </w:r>
    </w:p>
    <w:p>
      <w:pPr>
        <w:pStyle w:val="TextBody"/>
        <w:bidi w:val="0"/>
        <w:spacing w:before="0" w:after="0"/>
        <w:jc w:val="center"/>
        <w:rPr>
          <w:rFonts w:ascii="Times New Roman" w:hAnsi="Times New Roman"/>
          <w:b/>
          <w:sz w:val="20"/>
        </w:rPr>
      </w:pPr>
      <w:r>
        <w:rPr>
          <w:rFonts w:ascii="Times New Roman" w:hAnsi="Times New Roman"/>
          <w:b/>
          <w:sz w:val="20"/>
        </w:rPr>
        <w:t xml:space="preserve">certain specified milestones </w:t>
      </w:r>
    </w:p>
    <w:p>
      <w:pPr>
        <w:pStyle w:val="TextBody"/>
        <w:bidi w:val="0"/>
        <w:spacing w:before="120" w:after="0"/>
        <w:jc w:val="center"/>
        <w:rPr>
          <w:rFonts w:ascii="Times New Roman" w:hAnsi="Times New Roman"/>
          <w:b/>
          <w:sz w:val="20"/>
        </w:rPr>
      </w:pPr>
      <w:r>
        <w:rPr>
          <w:rFonts w:ascii="Times New Roman" w:hAnsi="Times New Roman"/>
          <w:b/>
          <w:sz w:val="20"/>
        </w:rPr>
        <w:t xml:space="preserve">Pursuant to the Offer to Purchase dated November 7, 2025 </w:t>
      </w:r>
    </w:p>
    <w:p>
      <w:pPr>
        <w:pStyle w:val="TextBody"/>
        <w:bidi w:val="0"/>
        <w:spacing w:before="120" w:after="0"/>
        <w:jc w:val="center"/>
        <w:rPr>
          <w:rFonts w:ascii="Times New Roman" w:hAnsi="Times New Roman"/>
          <w:b/>
          <w:sz w:val="20"/>
        </w:rPr>
      </w:pPr>
      <w:r>
        <w:rPr>
          <w:rFonts w:ascii="Times New Roman" w:hAnsi="Times New Roman"/>
          <w:b/>
          <w:sz w:val="20"/>
        </w:rPr>
        <w:t xml:space="preserve">by </w:t>
      </w:r>
    </w:p>
    <w:p>
      <w:pPr>
        <w:pStyle w:val="TextBody"/>
        <w:bidi w:val="0"/>
        <w:spacing w:before="120" w:after="0"/>
        <w:jc w:val="center"/>
        <w:rPr>
          <w:rFonts w:ascii="Times New Roman" w:hAnsi="Times New Roman"/>
          <w:b/>
          <w:sz w:val="20"/>
        </w:rPr>
      </w:pPr>
      <w:r>
        <w:rPr>
          <w:rFonts w:ascii="Times New Roman" w:hAnsi="Times New Roman"/>
          <w:b/>
          <w:sz w:val="20"/>
        </w:rPr>
        <w:t xml:space="preserve">FLYING TIGERS ACQUISITION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a direct wholly-owned subsidiary </w:t>
      </w:r>
    </w:p>
    <w:p>
      <w:pPr>
        <w:pStyle w:val="TextBody"/>
        <w:bidi w:val="0"/>
        <w:spacing w:before="120" w:after="0"/>
        <w:jc w:val="center"/>
        <w:rPr>
          <w:rFonts w:ascii="Times New Roman" w:hAnsi="Times New Roman"/>
          <w:b/>
          <w:sz w:val="20"/>
        </w:rPr>
      </w:pPr>
      <w:r>
        <w:rPr>
          <w:rFonts w:ascii="Times New Roman" w:hAnsi="Times New Roman"/>
          <w:b/>
          <w:sz w:val="20"/>
        </w:rPr>
        <w:t xml:space="preserve">of </w:t>
      </w:r>
    </w:p>
    <w:p>
      <w:pPr>
        <w:pStyle w:val="TextBody"/>
        <w:bidi w:val="0"/>
        <w:spacing w:before="120" w:after="0"/>
        <w:jc w:val="center"/>
        <w:rPr>
          <w:rFonts w:ascii="Times New Roman" w:hAnsi="Times New Roman"/>
          <w:b/>
          <w:sz w:val="20"/>
        </w:rPr>
      </w:pPr>
      <w:r>
        <w:rPr>
          <w:rFonts w:ascii="Times New Roman" w:hAnsi="Times New Roman"/>
          <w:b/>
          <w:sz w:val="20"/>
        </w:rPr>
        <w:t xml:space="preserve">ELI LILLY AND COMPANY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acknowledge(s) receipt of your letter and the enclosed Offer to Purchase, dated November 7, 2025 (the “Offer to Purchase”), and the related Letter of Transmittal in connection with the offer by Flying Tigers Acquisition Corporation, a Delaware corporation (“Purchaser”) and a direct wholly-owned subsidiary of Eli Lilly and Company, an Indiana corporation (“Lilly”), to purchase all of the issued and outstanding shares of common stock, par value $0.0001 per share (the “Shares”), of Adverum Biotechnologies, Inc., a Delaware corporation (“Adverum”), in exchange for (i) $3.56 per Share, net to the stockholder in cash, without interest (the “Cash Consideration”) and less any applicable tax withholding, plus (ii) one non-tradable CVR per Share, which represents the contractual right to receive up to two contingent cash payments of up to an aggregate of $8.91 per CVR, net to the stockholder in cash, without interest and less any applicable tax withholding, upon the achievement of certain specified milestones, all in accordance with the terms and subject to the conditions and other obligations of a contingent value rights agreement to be entered into by and among Lilly, Computershare, Inc., a Delaware corporation, and its affiliate, Computershare Trust Company, N.A., a federally chartered trust company, upon the terms and subject to the conditions set forth in the Offer to Purchase and in the related Letter of Transmittal (which, together with the Offer to Purchase, as each may be amended or supplemented from time to time, collectively constitute the “Offer”). The CVR Agreement contains important terms, conditions and other provisions relating to any potential payment in respect of the CVRs. It is possible that no payment or a payment of less than $8.91 per CVR will become payable in respect of the CVRs. See Section 11—“The Merger Agreement; Other Agreements—CVR Agreement” of the Offer to Purchase.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instruct(s) you to tender to Purchaser the number of Shares indicated below (or, if no number is indicated, all Shares) which are held by you or your nominees for the account of the undersigned, upon the terms and subject to the conditions set forth in the Offer.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understands and acknowledges that all questions as to the validity, form, eligibility (including time of receipt) and acceptance for payment of any tender of Shares will be determined by Purchaser, in its sole discretion, which determination will be final and binding on all parties, subject to the rights of holders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Shares to challenge such determination with respect to their Shares in a court of competent jurisdiction and any subsequent judgment of any such court. In addition, the undersigned understands and acknowledges that: </w:t>
      </w:r>
    </w:p>
    <w:p>
      <w:pPr>
        <w:pStyle w:val="TextBody"/>
        <w:bidi w:val="0"/>
        <w:spacing w:before="120" w:after="0"/>
        <w:jc w:val="left"/>
        <w:rPr>
          <w:rFonts w:ascii="Times New Roman" w:hAnsi="Times New Roman"/>
          <w:sz w:val="20"/>
        </w:rPr>
      </w:pPr>
      <w:r>
        <w:rPr>
          <w:rFonts w:ascii="Times New Roman" w:hAnsi="Times New Roman"/>
          <w:sz w:val="20"/>
        </w:rPr>
        <w:t xml:space="preserve">1. Purchaser reserves the absolute right to (i) reject any and all tenders determined by it not to be in proper form or the acceptance for payment of which may, in Purchaser’s opinion, be unlawful and (ii) waive any defect or irregularity in the tender of any Shares of any particular stockholder, whether or not similar defects or irregularities are waived in the case of other stockholders. </w:t>
      </w:r>
    </w:p>
    <w:p>
      <w:pPr>
        <w:pStyle w:val="TextBody"/>
        <w:bidi w:val="0"/>
        <w:spacing w:before="240" w:after="0"/>
        <w:jc w:val="left"/>
        <w:rPr>
          <w:rFonts w:ascii="Times New Roman" w:hAnsi="Times New Roman"/>
          <w:sz w:val="20"/>
        </w:rPr>
      </w:pPr>
      <w:r>
        <w:rPr>
          <w:rFonts w:ascii="Times New Roman" w:hAnsi="Times New Roman"/>
          <w:sz w:val="20"/>
        </w:rPr>
        <w:t xml:space="preserve">2. No tender of Shares will be deemed to have been validly made until all defects and irregularities have been cured or waived to Purchaser’s satisfaction. </w:t>
      </w:r>
    </w:p>
    <w:p>
      <w:pPr>
        <w:pStyle w:val="TextBody"/>
        <w:bidi w:val="0"/>
        <w:spacing w:before="240" w:after="0"/>
        <w:jc w:val="left"/>
        <w:rPr>
          <w:rFonts w:ascii="Times New Roman" w:hAnsi="Times New Roman"/>
          <w:sz w:val="20"/>
        </w:rPr>
      </w:pPr>
      <w:r>
        <w:rPr>
          <w:rFonts w:ascii="Times New Roman" w:hAnsi="Times New Roman"/>
          <w:sz w:val="20"/>
        </w:rPr>
        <w:t xml:space="preserve">3. None of Purchaser, Lilly or any of their respective affiliates or assigns, Computershare Trust Company, N.A., in its capacity as the depositary and paying agent, Georgeson LLC, in its capacity as the information agent, or any other person will be under any duty to give any notification of any defects or irregularities in tenders or incur any liability for failure to give any such notification. </w:t>
      </w:r>
    </w:p>
    <w:p>
      <w:pPr>
        <w:pStyle w:val="TextBody"/>
        <w:bidi w:val="0"/>
        <w:spacing w:before="240" w:after="0"/>
        <w:jc w:val="left"/>
        <w:rPr>
          <w:rFonts w:ascii="Times New Roman" w:hAnsi="Times New Roman"/>
          <w:b/>
          <w:sz w:val="20"/>
        </w:rPr>
      </w:pPr>
      <w:r>
        <w:rPr>
          <w:rFonts w:ascii="Times New Roman" w:hAnsi="Times New Roman"/>
          <w:b/>
          <w:sz w:val="20"/>
        </w:rPr>
        <w:t xml:space="preserve">The method of delivery of this document is at the election and risk of the tendering stockholder. If delivery is by mail, then registered mail with return receipt requested, properly insured, is recommended. In all cases, sufficient time should be allowed to ensure timely delivery.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2"/>
        <w:gridCol w:w="101"/>
        <w:gridCol w:w="5002"/>
      </w:tblGrid>
      <w:tr>
        <w:trPr/>
        <w:tc>
          <w:tcPr>
            <w:tcW w:w="510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002" w:type="dxa"/>
            <w:tcBorders/>
            <w:vAlign w:val="center"/>
          </w:tcPr>
          <w:p>
            <w:pPr>
              <w:pStyle w:val="TableContents"/>
              <w:bidi w:val="0"/>
              <w:spacing w:before="0" w:after="283"/>
              <w:jc w:val="left"/>
              <w:rPr>
                <w:sz w:val="4"/>
                <w:szCs w:val="4"/>
              </w:rPr>
            </w:pPr>
            <w:r>
              <w:rPr>
                <w:sz w:val="4"/>
                <w:szCs w:val="4"/>
              </w:rPr>
            </w:r>
          </w:p>
        </w:tc>
      </w:tr>
      <w:tr>
        <w:trPr/>
        <w:tc>
          <w:tcPr>
            <w:tcW w:w="5102" w:type="dxa"/>
            <w:tcBorders/>
            <w:vAlign w:val="bottom"/>
          </w:tcPr>
          <w:p>
            <w:pPr>
              <w:pStyle w:val="TableContents"/>
              <w:bidi w:val="0"/>
              <w:spacing w:before="0" w:after="283"/>
              <w:jc w:val="left"/>
              <w:rPr/>
            </w:pPr>
            <w:r>
              <w:rPr/>
              <w:t>Number of Shares to be Tendered:</w:t>
            </w:r>
          </w:p>
        </w:tc>
        <w:tc>
          <w:tcPr>
            <w:tcW w:w="101" w:type="dxa"/>
            <w:tcBorders/>
            <w:vAlign w:val="bottom"/>
          </w:tcPr>
          <w:p>
            <w:pPr>
              <w:pStyle w:val="TableContents"/>
              <w:bidi w:val="0"/>
              <w:spacing w:before="0" w:after="283"/>
              <w:jc w:val="left"/>
              <w:rPr/>
            </w:pPr>
            <w:r>
              <w:rPr/>
              <w:t> </w:t>
            </w:r>
          </w:p>
        </w:tc>
        <w:tc>
          <w:tcPr>
            <w:tcW w:w="5002" w:type="dxa"/>
            <w:tcBorders/>
            <w:vAlign w:val="bottom"/>
          </w:tcPr>
          <w:p>
            <w:pPr>
              <w:pStyle w:val="TableContents"/>
              <w:bidi w:val="0"/>
              <w:spacing w:before="0" w:after="283"/>
              <w:jc w:val="left"/>
              <w:rPr/>
            </w:pPr>
            <w:r>
              <w:rPr/>
              <w:t>SIGN HERE</w:t>
            </w:r>
          </w:p>
        </w:tc>
      </w:tr>
      <w:tr>
        <w:trPr>
          <w:trHeight w:val="60" w:hRule="atLeast"/>
        </w:trPr>
        <w:tc>
          <w:tcPr>
            <w:tcW w:w="5102" w:type="dxa"/>
            <w:tcBorders/>
            <w:vAlign w:val="center"/>
          </w:tcPr>
          <w:p>
            <w:pPr>
              <w:pStyle w:val="TableContents"/>
              <w:bidi w:val="0"/>
              <w:spacing w:before="0" w:after="283"/>
              <w:jc w:val="left"/>
              <w:rPr>
                <w:sz w:val="4"/>
                <w:szCs w:val="4"/>
              </w:rPr>
            </w:pPr>
            <w:r>
              <w:rPr>
                <w:sz w:val="4"/>
                <w:szCs w:val="4"/>
              </w:rPr>
            </w:r>
          </w:p>
        </w:tc>
        <w:tc>
          <w:tcPr>
            <w:tcW w:w="5103" w:type="dxa"/>
            <w:gridSpan w:val="2"/>
            <w:tcBorders/>
            <w:vAlign w:val="center"/>
          </w:tcPr>
          <w:p>
            <w:pPr>
              <w:pStyle w:val="TableContents"/>
              <w:bidi w:val="0"/>
              <w:spacing w:before="0" w:after="283"/>
              <w:jc w:val="left"/>
              <w:rPr>
                <w:sz w:val="4"/>
                <w:szCs w:val="4"/>
              </w:rPr>
            </w:pPr>
            <w:r>
              <w:rPr>
                <w:sz w:val="4"/>
                <w:szCs w:val="4"/>
              </w:rPr>
            </w:r>
          </w:p>
        </w:tc>
      </w:tr>
      <w:tr>
        <w:trPr/>
        <w:tc>
          <w:tcPr>
            <w:tcW w:w="5102" w:type="dxa"/>
            <w:tcBorders/>
            <w:vAlign w:val="bottom"/>
          </w:tcPr>
          <w:p>
            <w:pPr>
              <w:pStyle w:val="TableContents"/>
              <w:bidi w:val="0"/>
              <w:spacing w:before="0" w:after="283"/>
              <w:jc w:val="left"/>
              <w:rPr/>
            </w:pPr>
            <w:r>
              <w:rPr/>
              <w:t>Shares*</w:t>
            </w:r>
          </w:p>
        </w:tc>
        <w:tc>
          <w:tcPr>
            <w:tcW w:w="101" w:type="dxa"/>
            <w:tcBorders/>
            <w:vAlign w:val="bottom"/>
          </w:tcPr>
          <w:p>
            <w:pPr>
              <w:pStyle w:val="TableContents"/>
              <w:bidi w:val="0"/>
              <w:spacing w:before="0" w:after="283"/>
              <w:jc w:val="left"/>
              <w:rPr/>
            </w:pPr>
            <w:r>
              <w:rPr/>
              <w:t> </w:t>
            </w:r>
          </w:p>
        </w:tc>
        <w:tc>
          <w:tcPr>
            <w:tcW w:w="5002" w:type="dxa"/>
            <w:tcBorders/>
            <w:vAlign w:val="bottom"/>
          </w:tcPr>
          <w:p>
            <w:pPr>
              <w:pStyle w:val="TableContents"/>
              <w:bidi w:val="0"/>
              <w:spacing w:before="0" w:after="283"/>
              <w:jc w:val="left"/>
              <w:rPr/>
            </w:pPr>
            <w:r>
              <w:rPr/>
              <w:t>Signature(s)</w:t>
            </w:r>
          </w:p>
        </w:tc>
      </w:tr>
      <w:tr>
        <w:trPr>
          <w:trHeight w:val="60" w:hRule="atLeast"/>
        </w:trPr>
        <w:tc>
          <w:tcPr>
            <w:tcW w:w="5102" w:type="dxa"/>
            <w:tcBorders/>
            <w:vAlign w:val="center"/>
          </w:tcPr>
          <w:p>
            <w:pPr>
              <w:pStyle w:val="TableContents"/>
              <w:bidi w:val="0"/>
              <w:spacing w:before="0" w:after="283"/>
              <w:jc w:val="left"/>
              <w:rPr>
                <w:sz w:val="4"/>
                <w:szCs w:val="4"/>
              </w:rPr>
            </w:pPr>
            <w:r>
              <w:rPr>
                <w:sz w:val="4"/>
                <w:szCs w:val="4"/>
              </w:rPr>
            </w:r>
          </w:p>
        </w:tc>
        <w:tc>
          <w:tcPr>
            <w:tcW w:w="5103" w:type="dxa"/>
            <w:gridSpan w:val="2"/>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283"/>
              <w:jc w:val="left"/>
              <w:rPr/>
            </w:pPr>
            <w:r>
              <w:rPr/>
              <w:t>Account No.:</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5002"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60" w:hRule="atLeast"/>
        </w:trPr>
        <w:tc>
          <w:tcPr>
            <w:tcW w:w="5102" w:type="dxa"/>
            <w:tcBorders/>
            <w:vAlign w:val="center"/>
          </w:tcPr>
          <w:p>
            <w:pPr>
              <w:pStyle w:val="TableContents"/>
              <w:bidi w:val="0"/>
              <w:spacing w:before="0" w:after="283"/>
              <w:jc w:val="left"/>
              <w:rPr>
                <w:sz w:val="4"/>
                <w:szCs w:val="4"/>
              </w:rPr>
            </w:pPr>
            <w:r>
              <w:rPr>
                <w:sz w:val="4"/>
                <w:szCs w:val="4"/>
              </w:rPr>
            </w:r>
          </w:p>
        </w:tc>
        <w:tc>
          <w:tcPr>
            <w:tcW w:w="5103" w:type="dxa"/>
            <w:gridSpan w:val="2"/>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283"/>
              <w:jc w:val="left"/>
              <w:rPr/>
            </w:pPr>
            <w:r>
              <w:rPr/>
              <w:t>Dated:</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5002"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5102" w:type="dxa"/>
            <w:tcBorders>
              <w:bottom w:val="single" w:sz="2" w:space="0" w:color="000000"/>
            </w:tcBorders>
            <w:tcMar>
              <w:bottom w:w="28" w:type="dxa"/>
            </w:tcMar>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5002" w:type="dxa"/>
            <w:tcBorders/>
            <w:vAlign w:val="bottom"/>
          </w:tcPr>
          <w:p>
            <w:pPr>
              <w:pStyle w:val="TableContents"/>
              <w:bidi w:val="0"/>
              <w:spacing w:before="0" w:after="283"/>
              <w:jc w:val="left"/>
              <w:rPr>
                <w:b/>
              </w:rPr>
            </w:pPr>
            <w:r>
              <w:rPr>
                <w:b/>
              </w:rPr>
              <w:t>Please Print Name(s) and Address(es) Here</w:t>
            </w:r>
          </w:p>
        </w:tc>
      </w:tr>
      <w:tr>
        <w:trPr/>
        <w:tc>
          <w:tcPr>
            <w:tcW w:w="5102" w:type="dxa"/>
            <w:tcBorders/>
          </w:tcPr>
          <w:p>
            <w:pPr>
              <w:pStyle w:val="TableContents"/>
              <w:bidi w:val="0"/>
              <w:spacing w:before="0" w:after="283"/>
              <w:jc w:val="left"/>
              <w:rPr>
                <w:b/>
              </w:rPr>
            </w:pPr>
            <w:r>
              <w:rPr>
                <w:b/>
              </w:rPr>
              <w:t>Area Code and Phone Number</w:t>
            </w:r>
          </w:p>
        </w:tc>
        <w:tc>
          <w:tcPr>
            <w:tcW w:w="101" w:type="dxa"/>
            <w:tcBorders/>
            <w:vAlign w:val="bottom"/>
          </w:tcPr>
          <w:p>
            <w:pPr>
              <w:pStyle w:val="TableContents"/>
              <w:bidi w:val="0"/>
              <w:spacing w:before="0" w:after="283"/>
              <w:jc w:val="left"/>
              <w:rPr/>
            </w:pPr>
            <w:r>
              <w:rPr/>
              <w:t> </w:t>
            </w:r>
          </w:p>
        </w:tc>
        <w:tc>
          <w:tcPr>
            <w:tcW w:w="500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5102" w:type="dxa"/>
            <w:tcBorders/>
            <w:vAlign w:val="center"/>
          </w:tcPr>
          <w:p>
            <w:pPr>
              <w:pStyle w:val="TableContents"/>
              <w:bidi w:val="0"/>
              <w:spacing w:before="0" w:after="283"/>
              <w:jc w:val="left"/>
              <w:rPr>
                <w:sz w:val="4"/>
                <w:szCs w:val="4"/>
              </w:rPr>
            </w:pPr>
            <w:r>
              <w:rPr>
                <w:sz w:val="4"/>
                <w:szCs w:val="4"/>
              </w:rPr>
            </w:r>
          </w:p>
        </w:tc>
        <w:tc>
          <w:tcPr>
            <w:tcW w:w="5103" w:type="dxa"/>
            <w:gridSpan w:val="2"/>
            <w:tcBorders/>
            <w:vAlign w:val="center"/>
          </w:tcPr>
          <w:p>
            <w:pPr>
              <w:pStyle w:val="TableContents"/>
              <w:bidi w:val="0"/>
              <w:spacing w:before="0" w:after="283"/>
              <w:jc w:val="left"/>
              <w:rPr>
                <w:sz w:val="4"/>
                <w:szCs w:val="4"/>
              </w:rPr>
            </w:pPr>
            <w:r>
              <w:rPr>
                <w:sz w:val="4"/>
                <w:szCs w:val="4"/>
              </w:rPr>
            </w:r>
          </w:p>
        </w:tc>
      </w:tr>
      <w:tr>
        <w:trPr/>
        <w:tc>
          <w:tcPr>
            <w:tcW w:w="5102" w:type="dxa"/>
            <w:tcBorders>
              <w:bottom w:val="single" w:sz="2" w:space="0" w:color="000000"/>
            </w:tcBorders>
            <w:tcMar>
              <w:bottom w:w="28" w:type="dxa"/>
            </w:tcMa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5002" w:type="dxa"/>
            <w:tcBorders/>
            <w:vAlign w:val="bottom"/>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b/>
              </w:rPr>
            </w:pPr>
            <w:r>
              <w:rPr>
                <w:b/>
              </w:rPr>
              <w:t>Tax Identification Number or Social Security Number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otherwise indicated, it will be assumed that all Shares held by us for your account are to be tendered. </w:t>
            </w:r>
          </w:p>
        </w:tc>
      </w:tr>
    </w:tbl>
    <w:p>
      <w:pPr>
        <w:pStyle w:val="TextBody"/>
        <w:bidi w:val="0"/>
        <w:spacing w:before="0" w:after="0"/>
        <w:jc w:val="right"/>
        <w:rPr>
          <w:rFonts w:ascii="Times New Roman" w:hAnsi="Times New Roman"/>
          <w:b/>
          <w:sz w:val="20"/>
        </w:rPr>
      </w:pPr>
      <w:bookmarkStart w:id="33" w:name="d67752dex99a1e.htm"/>
      <w:bookmarkStart w:id="34" w:name="ksd67752dex99a1e"/>
      <w:bookmarkEnd w:id="33"/>
      <w:bookmarkEnd w:id="34"/>
      <w:r>
        <w:rPr>
          <w:rFonts w:ascii="Times New Roman" w:hAnsi="Times New Roman"/>
          <w:b/>
          <w:sz w:val="20"/>
        </w:rPr>
        <w:t xml:space="preserve">Exhibit (a)(1)(E) </w:t>
      </w:r>
      <w:r>
        <w:br w:type="page"/>
      </w:r>
    </w:p>
    <w:p>
      <w:pPr>
        <w:pStyle w:val="TextBody"/>
        <w:bidi w:val="0"/>
        <w:spacing w:before="240" w:after="0"/>
        <w:jc w:val="center"/>
        <w:rPr>
          <w:rFonts w:ascii="Times New Roman" w:hAnsi="Times New Roman"/>
          <w:i/>
          <w:sz w:val="20"/>
        </w:rPr>
      </w:pPr>
      <w:r>
        <w:rPr>
          <w:rFonts w:ascii="Times New Roman" w:hAnsi="Times New Roman"/>
          <w:i/>
          <w:sz w:val="20"/>
        </w:rPr>
        <w:t xml:space="preserve">This announcement is neither an offer to purchase nor a solicitation of an offer to sell Shares (as defined below). The Offer (as defined below) is being made only by the Offer to Purchase, dated November 7, 2025 (the “Offer to Purchase”) and the related Letter of Transmittal, as each may be amended or supplemented from time to time, and is being made to all holders of Shares. THE OFFER IS NOT BEING MADE TO (NOR WILL TENDERS BE ACCEPTED FROM OR ON BEHALF OF) HOLDERS OF SHARES IN ANY JURISDICTION IN WHICH THE MAKING OF THE OFFER OR ACCEPTANCE THEREOF WOULD NOT BE IN COMPLIANCE WITH THE LAWS OF SUCH JURISDICTION. IN THOSE JURISDICTIONS WHERE APPLICABLE LAWS OR REGULATIONS REQUIRE THE OFFER TO BE MADE BY A LICENSED BROKER OR DEALER, THE OFFER SHALL BE DEEMED TO BE MADE ON BEHALF OF PURCHASER (AS DEFINED BELOW) BY ONE OR MORE REGISTERED BROKERS OR DEALERS LICENSED UNDER THE LAWS OF SUCH JURISDICTION TO BE DESIGNATED BY PURCHASER.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Offer to Purchase </w:t>
      </w:r>
    </w:p>
    <w:p>
      <w:pPr>
        <w:pStyle w:val="TextBody"/>
        <w:bidi w:val="0"/>
        <w:spacing w:before="120" w:after="0"/>
        <w:jc w:val="center"/>
        <w:rPr>
          <w:rFonts w:ascii="Times New Roman" w:hAnsi="Times New Roman"/>
          <w:b/>
          <w:sz w:val="20"/>
        </w:rPr>
      </w:pPr>
      <w:r>
        <w:rPr>
          <w:rFonts w:ascii="Times New Roman" w:hAnsi="Times New Roman"/>
          <w:b/>
          <w:sz w:val="20"/>
        </w:rPr>
        <w:t xml:space="preserve">All Outstanding Shares of Common Stock </w:t>
      </w:r>
    </w:p>
    <w:p>
      <w:pPr>
        <w:pStyle w:val="TextBody"/>
        <w:bidi w:val="0"/>
        <w:spacing w:before="120" w:after="0"/>
        <w:jc w:val="center"/>
        <w:rPr>
          <w:rFonts w:ascii="Times New Roman" w:hAnsi="Times New Roman"/>
          <w:b/>
          <w:sz w:val="20"/>
        </w:rPr>
      </w:pPr>
      <w:r>
        <w:rPr>
          <w:rFonts w:ascii="Times New Roman" w:hAnsi="Times New Roman"/>
          <w:b/>
          <w:sz w:val="20"/>
        </w:rPr>
        <w:t xml:space="preserve">of </w:t>
      </w:r>
    </w:p>
    <w:p>
      <w:pPr>
        <w:pStyle w:val="TextBody"/>
        <w:bidi w:val="0"/>
        <w:spacing w:before="120" w:after="0"/>
        <w:jc w:val="center"/>
        <w:rPr>
          <w:rFonts w:ascii="Times New Roman" w:hAnsi="Times New Roman"/>
          <w:b/>
          <w:sz w:val="20"/>
        </w:rPr>
      </w:pPr>
      <w:r>
        <w:rPr>
          <w:rFonts w:ascii="Times New Roman" w:hAnsi="Times New Roman"/>
          <w:b/>
          <w:sz w:val="20"/>
        </w:rPr>
        <w:t xml:space="preserve">ADVERUM BIOTECHNOLOGIES, INC. </w:t>
      </w:r>
    </w:p>
    <w:p>
      <w:pPr>
        <w:pStyle w:val="TextBody"/>
        <w:bidi w:val="0"/>
        <w:spacing w:before="120" w:after="0"/>
        <w:jc w:val="center"/>
        <w:rPr>
          <w:rFonts w:ascii="Times New Roman" w:hAnsi="Times New Roman"/>
          <w:b/>
          <w:sz w:val="20"/>
        </w:rPr>
      </w:pPr>
      <w:r>
        <w:rPr>
          <w:rFonts w:ascii="Times New Roman" w:hAnsi="Times New Roman"/>
          <w:b/>
          <w:sz w:val="20"/>
        </w:rPr>
        <w:t xml:space="preserve">at </w:t>
      </w:r>
    </w:p>
    <w:p>
      <w:pPr>
        <w:pStyle w:val="TextBody"/>
        <w:bidi w:val="0"/>
        <w:spacing w:before="120" w:after="0"/>
        <w:jc w:val="center"/>
        <w:rPr>
          <w:rFonts w:ascii="Times New Roman" w:hAnsi="Times New Roman"/>
          <w:b/>
          <w:sz w:val="20"/>
        </w:rPr>
      </w:pPr>
      <w:r>
        <w:rPr>
          <w:rFonts w:ascii="Times New Roman" w:hAnsi="Times New Roman"/>
          <w:b/>
          <w:sz w:val="20"/>
        </w:rPr>
        <w:t xml:space="preserve">$3.56 per share, net to the stockholder in cash, without interest and less any applicable tax withholding, </w:t>
      </w:r>
    </w:p>
    <w:p>
      <w:pPr>
        <w:pStyle w:val="TextBody"/>
        <w:bidi w:val="0"/>
        <w:spacing w:before="0" w:after="0"/>
        <w:jc w:val="center"/>
        <w:rPr>
          <w:rFonts w:ascii="Times New Roman" w:hAnsi="Times New Roman"/>
          <w:sz w:val="20"/>
        </w:rPr>
      </w:pPr>
      <w:r>
        <w:rPr>
          <w:rFonts w:ascii="Times New Roman" w:hAnsi="Times New Roman"/>
          <w:b/>
          <w:i/>
          <w:sz w:val="20"/>
        </w:rPr>
        <w:t>plus</w:t>
      </w:r>
      <w:r>
        <w:rPr>
          <w:rFonts w:ascii="Times New Roman" w:hAnsi="Times New Roman"/>
          <w:sz w:val="20"/>
        </w:rPr>
        <w:t xml:space="preserve"> </w:t>
      </w:r>
      <w:r>
        <w:rPr>
          <w:rFonts w:ascii="Times New Roman" w:hAnsi="Times New Roman"/>
          <w:b/>
          <w:sz w:val="20"/>
        </w:rPr>
        <w:t xml:space="preserve">one non-tradable contingent value right (“CVR”) per share, </w:t>
      </w:r>
    </w:p>
    <w:p>
      <w:pPr>
        <w:pStyle w:val="TextBody"/>
        <w:bidi w:val="0"/>
        <w:spacing w:before="0" w:after="0"/>
        <w:jc w:val="center"/>
        <w:rPr>
          <w:rFonts w:ascii="Times New Roman" w:hAnsi="Times New Roman"/>
          <w:b/>
          <w:sz w:val="20"/>
        </w:rPr>
      </w:pPr>
      <w:r>
        <w:rPr>
          <w:rFonts w:ascii="Times New Roman" w:hAnsi="Times New Roman"/>
          <w:b/>
          <w:sz w:val="20"/>
        </w:rPr>
        <w:t xml:space="preserve">which represents the contractual right to receive up to two contingent cash  payments of up to an aggregate of </w:t>
      </w:r>
    </w:p>
    <w:p>
      <w:pPr>
        <w:pStyle w:val="TextBody"/>
        <w:bidi w:val="0"/>
        <w:spacing w:before="0" w:after="0"/>
        <w:jc w:val="center"/>
        <w:rPr>
          <w:rFonts w:ascii="Times New Roman" w:hAnsi="Times New Roman"/>
          <w:b/>
          <w:sz w:val="20"/>
        </w:rPr>
      </w:pPr>
      <w:r>
        <w:rPr>
          <w:rFonts w:ascii="Times New Roman" w:hAnsi="Times New Roman"/>
          <w:b/>
          <w:sz w:val="20"/>
        </w:rPr>
        <w:t xml:space="preserve">$8.91 per CVR, net to the </w:t>
      </w:r>
    </w:p>
    <w:p>
      <w:pPr>
        <w:pStyle w:val="TextBody"/>
        <w:bidi w:val="0"/>
        <w:spacing w:before="0" w:after="0"/>
        <w:jc w:val="center"/>
        <w:rPr>
          <w:rFonts w:ascii="Times New Roman" w:hAnsi="Times New Roman"/>
          <w:b/>
          <w:sz w:val="20"/>
        </w:rPr>
      </w:pPr>
      <w:r>
        <w:rPr>
          <w:rFonts w:ascii="Times New Roman" w:hAnsi="Times New Roman"/>
          <w:b/>
          <w:sz w:val="20"/>
        </w:rPr>
        <w:t xml:space="preserve">stockholder in cash, without interest and less any applicable tax withholding, upon the achievement of </w:t>
      </w:r>
    </w:p>
    <w:p>
      <w:pPr>
        <w:pStyle w:val="TextBody"/>
        <w:bidi w:val="0"/>
        <w:spacing w:before="0" w:after="0"/>
        <w:jc w:val="center"/>
        <w:rPr>
          <w:rFonts w:ascii="Times New Roman" w:hAnsi="Times New Roman"/>
          <w:b/>
          <w:sz w:val="20"/>
        </w:rPr>
      </w:pPr>
      <w:r>
        <w:rPr>
          <w:rFonts w:ascii="Times New Roman" w:hAnsi="Times New Roman"/>
          <w:b/>
          <w:sz w:val="20"/>
        </w:rPr>
        <w:t xml:space="preserve">certain specified milestones </w:t>
      </w:r>
    </w:p>
    <w:p>
      <w:pPr>
        <w:pStyle w:val="TextBody"/>
        <w:bidi w:val="0"/>
        <w:spacing w:before="120" w:after="0"/>
        <w:jc w:val="center"/>
        <w:rPr>
          <w:rFonts w:ascii="Times New Roman" w:hAnsi="Times New Roman"/>
          <w:b/>
          <w:sz w:val="20"/>
        </w:rPr>
      </w:pPr>
      <w:r>
        <w:rPr>
          <w:rFonts w:ascii="Times New Roman" w:hAnsi="Times New Roman"/>
          <w:b/>
          <w:sz w:val="20"/>
        </w:rPr>
        <w:t xml:space="preserve">Pursuant to the Offer to Purchase dated November 7, 2025 </w:t>
      </w:r>
    </w:p>
    <w:p>
      <w:pPr>
        <w:pStyle w:val="TextBody"/>
        <w:bidi w:val="0"/>
        <w:spacing w:before="120" w:after="0"/>
        <w:jc w:val="center"/>
        <w:rPr>
          <w:rFonts w:ascii="Times New Roman" w:hAnsi="Times New Roman"/>
          <w:b/>
          <w:sz w:val="20"/>
        </w:rPr>
      </w:pPr>
      <w:r>
        <w:rPr>
          <w:rFonts w:ascii="Times New Roman" w:hAnsi="Times New Roman"/>
          <w:b/>
          <w:sz w:val="20"/>
        </w:rPr>
        <w:t xml:space="preserve">by </w:t>
      </w:r>
    </w:p>
    <w:p>
      <w:pPr>
        <w:pStyle w:val="TextBody"/>
        <w:bidi w:val="0"/>
        <w:spacing w:before="120" w:after="0"/>
        <w:jc w:val="center"/>
        <w:rPr>
          <w:rFonts w:ascii="Times New Roman" w:hAnsi="Times New Roman"/>
          <w:b/>
          <w:sz w:val="20"/>
        </w:rPr>
      </w:pPr>
      <w:r>
        <w:rPr>
          <w:rFonts w:ascii="Times New Roman" w:hAnsi="Times New Roman"/>
          <w:b/>
          <w:sz w:val="20"/>
        </w:rPr>
        <w:t xml:space="preserve">FLYING TIGERS ACQUISITION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a direct wholly-owned subsidiary </w:t>
      </w:r>
    </w:p>
    <w:p>
      <w:pPr>
        <w:pStyle w:val="TextBody"/>
        <w:bidi w:val="0"/>
        <w:spacing w:before="120" w:after="0"/>
        <w:jc w:val="center"/>
        <w:rPr>
          <w:rFonts w:ascii="Times New Roman" w:hAnsi="Times New Roman"/>
          <w:b/>
          <w:sz w:val="20"/>
        </w:rPr>
      </w:pPr>
      <w:r>
        <w:rPr>
          <w:rFonts w:ascii="Times New Roman" w:hAnsi="Times New Roman"/>
          <w:b/>
          <w:sz w:val="20"/>
        </w:rPr>
        <w:t xml:space="preserve">of </w:t>
      </w:r>
    </w:p>
    <w:p>
      <w:pPr>
        <w:pStyle w:val="TextBody"/>
        <w:bidi w:val="0"/>
        <w:spacing w:before="120" w:after="0"/>
        <w:jc w:val="center"/>
        <w:rPr>
          <w:rFonts w:ascii="Times New Roman" w:hAnsi="Times New Roman"/>
          <w:b/>
          <w:sz w:val="20"/>
        </w:rPr>
      </w:pPr>
      <w:r>
        <w:rPr>
          <w:rFonts w:ascii="Times New Roman" w:hAnsi="Times New Roman"/>
          <w:b/>
          <w:sz w:val="20"/>
        </w:rPr>
        <w:t xml:space="preserve">ELI LILLY AND COMPANY </w:t>
      </w:r>
    </w:p>
    <w:p>
      <w:pPr>
        <w:pStyle w:val="TextBody"/>
        <w:bidi w:val="0"/>
        <w:spacing w:before="240" w:after="0"/>
        <w:jc w:val="left"/>
        <w:rPr>
          <w:rFonts w:ascii="Times New Roman" w:hAnsi="Times New Roman"/>
          <w:sz w:val="20"/>
        </w:rPr>
      </w:pPr>
      <w:r>
        <w:rPr>
          <w:rFonts w:ascii="Times New Roman" w:hAnsi="Times New Roman"/>
          <w:sz w:val="20"/>
        </w:rPr>
        <w:t xml:space="preserve">Flying Tigers Acquisition Corporation, a Delaware corporation (“Purchaser”) and a direct wholly-owned subsidiary of Eli Lilly and Company, an Indiana corporation (“Lilly”), is offering to purchase all of the issued and outstanding shares of common stock, par value $0.0001 per share (the “Shares”), of Adverum Biotechnologies, Inc., a Delaware corporation (“Adverum”), in exchange for (i) $3.56 per Share, net to the stockholder in cash, without interest (the “Cash Consideration”) and less any applicable tax withholding, plus (ii) one non-tradable CVR per Share, which represents the contractual right to receive up to two contingent cash payments of up to an aggregate of $8.91 per CVR, net to the stockholder in cash, without interest and less any applicable tax withholding, upon the achievement of certain specified milestones, all in accordance with the terms and subject to the conditions and other provisions of a contingent value rights agreement (the “CVR Agreement”) to be entered into by and among Lilly, Computershare, Inc., a Delaware corporation, and its affiliate, Computershare Trust Company, N.A., a federally chartered trust company (the Cash Consideration plus one CVR, collectively, the “Offer Price”), upon the terms and subject to the conditions set forth in the Offer to Purchase and in the related Letter of Transmittal (which, together with the Offer to Purchase, as each may be amended or supplemented from time to time, collectively constitute the “Offer”).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Tendering stockholders who are holders of record of their Shares and who tender directly to Computershare Trust Company, N.A., the depositary and paying agent for the Offer (in such capacity, the “Depositary”), will not be obligated to pay brokerage fees or commissions or, except as otherwise provided in Instruction 6 of the Letter of Transmittal, stock transfer taxes with respect to the purchase of Shares by Purchaser pursuant to the Offer. Stockholders who hold their Shares through a broker, dealer, commercial bank, trust company or other nominee should consult such broker, dealer, commercial bank, trust company or other nominee as to whether it charges any service fees or commissions. </w:t>
      </w:r>
    </w:p>
    <w:p>
      <w:pPr>
        <w:pStyle w:val="TextBody"/>
        <w:bidi w:val="0"/>
        <w:spacing w:before="240" w:after="0"/>
        <w:jc w:val="left"/>
        <w:rPr>
          <w:rFonts w:ascii="Times New Roman" w:hAnsi="Times New Roman"/>
          <w:sz w:val="20"/>
        </w:rPr>
      </w:pPr>
      <w:r>
        <w:rPr>
          <w:rFonts w:ascii="Times New Roman" w:hAnsi="Times New Roman"/>
          <w:sz w:val="20"/>
        </w:rPr>
        <w:t xml:space="preserve">Each CVR represents a non-tradable contractual right to receive up to two contingent cash payments (each a “Milestone Payment,” and collectively, the “Milestone Payments”) of up to an aggregate of $8.91 per CVR, net to the stockholder in cash, without interest and less any applicable tax withholding, upon the achievement of certain specified milestones related to the development of any pharmaceutical product that contains or incorporates ixoberogene soroparvovec, formerly referred to as ADVM-022, alone or in combination with one or more other therapeutically active ingredients, including all formulations, dosages, or modes of delivery thereof (the “Ixo-vec Product”). </w:t>
      </w:r>
    </w:p>
    <w:p>
      <w:pPr>
        <w:pStyle w:val="TextBody"/>
        <w:bidi w:val="0"/>
        <w:spacing w:before="240" w:after="0"/>
        <w:jc w:val="left"/>
        <w:rPr>
          <w:rFonts w:ascii="Times New Roman" w:hAnsi="Times New Roman"/>
          <w:sz w:val="20"/>
        </w:rPr>
      </w:pPr>
      <w:r>
        <w:rPr>
          <w:rFonts w:ascii="Times New Roman" w:hAnsi="Times New Roman"/>
          <w:sz w:val="20"/>
        </w:rPr>
        <w:t xml:space="preserve">The Milestone Payments comprise the First Milestone Payment (as defined below) and the Second Milestone Payment (as defined below), each payable upon the achievement of certain specified regulatory and commercial milestones within specified time periods,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“First Milestone Payment” is an amount equal to $1.78 per CVR minus any Milestone Offset Amount (as defined below), if any, in cash, without interest, payable if Regulatory Approval (as defined in the CVR Agreement) is received in the United States for an Ixo-vec Product for the treatment of wet age-related macular degeneration (the “First Milestone”) prior to the earlier of (i) 12:00 a.m. New York City Time on the date that is the seventh anniversary of the Closing Date (as defined below), and (ii) the termination of the CVR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“Second Milestone Payment” is an amount equal to $7.13 per CVR minus any Milestone Offset Amount, if any, and to the extent not deducted from the First Milestone Payment, in cash, without interest, payable if annual worldwide Net Sales (as defined in the CVR Agreement) of an Ixo-vec Product sold by Lilly or its affiliates or licensees first exceed $1.0 billion (the “Second Milestone,” and together with the First Milestone, the “Milestones” and each a “Milestone”) prior to the tenth anniversary of the Closing Date (as defined below).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“Milestone Offset Amount” is an amount equal to (i) 50% of any payments that Lilly or any of its affiliates or their respective successors or permitted assigns makes or is obligated to make in exchange for any license to, or other right to use or practice, any Necessary IP (as defined in Section 11 — “The Merger Agreement; Other Agreements — CVR Agreement”) divided by (ii) the total number of CVRs held by all eligible holders of CVRs, as reflected on the CVR Register (as defined below) as of the close of business on the date of the Milestone Notice (as defined in the CVR Agreement). The Milestone Offset Amount will in no event exceed $0.50 per CVR. This means that the aggregate consideration per CVR could be lower than $8.91 (but no lower than $8.41) even if each of the Milestones is met. The CVR Agreement requires Parent to undertake Commercially Reasonable Efforts (as defined in the CVR Agreement) to achieve the First Milestone, but there can be no assurance that either Milestone will be achieved prior to its respective expiration or termination of the CVR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THE OFFER AND WITHDRAWAL RIGHTS WILL EXPIRE AT ONE MINUTE PAST 11:59 P.M., EASTERN TIME, ON DECEMBER 8, 2025, UNLESS THE OFFER IS EXTENDED OR EARLIER TERMINATED. </w:t>
      </w:r>
    </w:p>
    <w:p>
      <w:pPr>
        <w:pStyle w:val="TextBody"/>
        <w:bidi w:val="0"/>
        <w:spacing w:before="240" w:after="0"/>
        <w:jc w:val="left"/>
        <w:rPr>
          <w:rFonts w:ascii="Times New Roman" w:hAnsi="Times New Roman"/>
          <w:sz w:val="20"/>
        </w:rPr>
      </w:pPr>
      <w:r>
        <w:rPr>
          <w:rFonts w:ascii="Times New Roman" w:hAnsi="Times New Roman"/>
          <w:sz w:val="20"/>
        </w:rPr>
        <w:t xml:space="preserve">The Offer is being made pursuant to an Agreement and Plan of Merger, dated October 24, 2025 (as it may be amended from time to time, the “Merger Agreement”), by and among Adverum, Lilly and Purchaser, pursuant to which, after consummation of the Offer and subject to the satisfaction or waiver of certain conditions, Purchaser will merge with and into Adverum pursuant to Section 251(h) (“Section 251(h)”) of the General Corporation Law of the State of Delaware (the “DGCL”), upon the terms and subject to the conditions set forth in the Merger Agreement, with Adverum continuing as the surviving corporation and becoming a direct wholly-owned subsidiary of Lilly (the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Merger”). At the effective time of the Merger (the “Effective Time”), each Share issued and outstanding immediately prior to the Effective Time (other than (i) Shares held in the treasury of Adverum or owned by Adverum, (ii) Shares owned by Lilly, Purchaser or any direct or indirect wholly-owned subsidiary of Lilly or Purchaser or (iii) Shares that are held by stockholders who are entitled to demand and properly exercised and perfected their respective demands for appraisal for such Shares in accordance with Section 262 of the DGCL) will be converted into the right to receive the Offer Price, without interest, from Purchaser, less any applicable tax withholding. </w:t>
      </w:r>
    </w:p>
    <w:p>
      <w:pPr>
        <w:pStyle w:val="TextBody"/>
        <w:bidi w:val="0"/>
        <w:spacing w:before="240" w:after="0"/>
        <w:jc w:val="left"/>
        <w:rPr>
          <w:rFonts w:ascii="Times New Roman" w:hAnsi="Times New Roman"/>
          <w:sz w:val="20"/>
        </w:rPr>
      </w:pPr>
      <w:r>
        <w:rPr>
          <w:rFonts w:ascii="Times New Roman" w:hAnsi="Times New Roman"/>
          <w:sz w:val="20"/>
        </w:rPr>
        <w:t xml:space="preserve">The Offer and the Merger are not subject to any financing condition. The obligation of Purchaser to accept for payment and pay for Shares validly tendered (and not validly withdrawn) pursuant to the Offer is subject to the satisfaction of the conditions set forth in Section 15 of the Offer to Purchase (collectively, the “Offer Conditions”), including the Minimum Tender Condition (as defined below) and the Legal Restraint Condition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The “Minimum Tender Condition” means that there will have been validly tendered in the Offer and not validly withdrawn prior to the Expiration Time (as defined below) that number of Shares that, together with the number of Shares, if any, then beneficially owned by Lilly and Purchaser (together with their wholly-owned subsidiaries), would represent a majority of the Shares outstanding as of the consummation of the Offer. </w:t>
      </w:r>
    </w:p>
    <w:p>
      <w:pPr>
        <w:pStyle w:val="TextBody"/>
        <w:bidi w:val="0"/>
        <w:spacing w:before="240" w:after="0"/>
        <w:jc w:val="left"/>
        <w:rPr>
          <w:rFonts w:ascii="Times New Roman" w:hAnsi="Times New Roman"/>
          <w:sz w:val="20"/>
        </w:rPr>
      </w:pPr>
      <w:r>
        <w:rPr>
          <w:rFonts w:ascii="Times New Roman" w:hAnsi="Times New Roman"/>
          <w:sz w:val="20"/>
        </w:rPr>
        <w:t xml:space="preserve">The “Legal Restraint Condition” means that (i) no court of competent jurisdiction or other governmental body has issued an order, decree, or ruling, enacted any law or taken any other action restraining, enjoining, or otherwise prohibiting the Offer or the Merger or (ii) any law applicable to the Offer or the Merger restraining, enjoining or otherwise prohibiting the Offer or the Merger shall be in effect. </w:t>
      </w:r>
    </w:p>
    <w:p>
      <w:pPr>
        <w:pStyle w:val="TextBody"/>
        <w:bidi w:val="0"/>
        <w:spacing w:before="240" w:after="0"/>
        <w:jc w:val="left"/>
        <w:rPr>
          <w:rFonts w:ascii="Times New Roman" w:hAnsi="Times New Roman"/>
          <w:sz w:val="20"/>
        </w:rPr>
      </w:pPr>
      <w:r>
        <w:rPr>
          <w:rFonts w:ascii="Times New Roman" w:hAnsi="Times New Roman"/>
          <w:sz w:val="20"/>
        </w:rPr>
        <w:t xml:space="preserve">The term “Expiration Time” means one minute past 11:59 p.m., Eastern Time, on December 8, 2025, unless the expiration of the Offer is extended to a subsequent date in accordance with the terms of the Merger Agreement, in which case the term “Expiration Time” means such subsequent time on such subsequent date. The Merger Agreement does not provide for a “subsequent offering period” in accordance with Rule 14d-11 under the Securities Exchange Act of 1934, as amended (the “Exchange Act”) without the prior written consent of Adverum.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of Adverum (the “Adverum Board”) unanimously (i) determined that the Merger Agreement and the transactions contemplated thereby (the “Transactions”) are advisable, fair to, and in the best interests of Adverum and the holders of the Shares, (ii) duly authorized and approved the execution and delivery of the Merger Agreement, the performance by Adverum of its covenants and other obligations thereunder, and the consummation of the Transactions upon the terms and subject to the conditions set forth therein, (iii) resolved that the Merger Agreement and the Transactions will be governed by and effected under Section 251(h) and other relevant provisions of the DGCL and (iv) resolved to recommend that Adverum stockholders accept the Offer and tender their Shares pursuant to the Offer. </w:t>
      </w:r>
    </w:p>
    <w:p>
      <w:pPr>
        <w:pStyle w:val="TextBody"/>
        <w:bidi w:val="0"/>
        <w:spacing w:before="240" w:after="0"/>
        <w:jc w:val="left"/>
        <w:rPr>
          <w:rFonts w:ascii="Times New Roman" w:hAnsi="Times New Roman"/>
          <w:b/>
          <w:sz w:val="20"/>
        </w:rPr>
      </w:pPr>
      <w:r>
        <w:rPr>
          <w:rFonts w:ascii="Times New Roman" w:hAnsi="Times New Roman"/>
          <w:b/>
          <w:sz w:val="20"/>
        </w:rPr>
        <w:t xml:space="preserve">Descriptions of the reasons for the Adverum Board’s recommendation and approval of the Offer are set forth in Adverum’s Solicitation/Recommendation Statement on Schedule 14D-9 (the “Schedule 14D-9”), which is being mailed to Adverum stockholders together with the Offer materials (including the Offer to Purchase and the related Letter of Transmittal). Stockholders should carefully read the information set forth in the Schedule 14D-9, including the information set forth in Item 4 thereof under the sub-headings “Background of the Offer” and “Reasons for the Recommendation of the Company Board.”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contains provisions that govern the circumstances under which Purchaser is required or permitted to extend the Offer. Specifically, the Merger Agreement provides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at the scheduled Expiration Time, any Offer Condition, other than solely (A) the Minimum Tender Condition, and (B) any such conditions that by their nature are to be satisfied at the Expiration Time, has not been satisfied or waived, Purchaser will extend the Offer for one or more consecutive increments of up to five business days each (or for such longer period as may be agreed to by Lilly and Adverum), until such time as such conditions have been satisfied or waived;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Purchaser will extend the Offer for any period required by any rule, regulation, interpretation or position of the Securities and Exchange Commission (the “SEC”), the staff thereof or The Nasdaq Capital Market applicable to the Offer; and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at the scheduled Expiration Time, each Offer Condition (other than the Minimum Tender Condition and any such conditions that by their nature are to be satisfied at the Expiration Time) will have been satisfied or waived and the Minimum Tender Condition will not have been satisfied, Purchaser may elect to (and if so requested by Adverum, Purchaser will) extend the Offer for one or more consecutive increments of such duration as requested by Adverum (or if not so requested, as determined by Purchaser) but not more than five business days each (or for such longer period as may be agreed to by Adverum and Lilly); however, Adverum may not request Purchaser to, and Purchaser will not be required to, extend the Offer on more than two occasions in consecutive periods of five business days each (or such longer or shorter period as may be agreed to by Adverum and Purchaser).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each case, Purchaser will not be required to extend the Offer beyond the Outside Date. The “Outside Date” means January 22, 2026, unless otherwise extended by mutual written agreement of Lilly, Purchaser and Adverum. </w:t>
      </w:r>
    </w:p>
    <w:p>
      <w:pPr>
        <w:pStyle w:val="TextBody"/>
        <w:bidi w:val="0"/>
        <w:spacing w:before="240" w:after="0"/>
        <w:jc w:val="left"/>
        <w:rPr>
          <w:rFonts w:ascii="Times New Roman" w:hAnsi="Times New Roman"/>
          <w:sz w:val="20"/>
        </w:rPr>
      </w:pPr>
      <w:r>
        <w:rPr>
          <w:rFonts w:ascii="Times New Roman" w:hAnsi="Times New Roman"/>
          <w:sz w:val="20"/>
        </w:rPr>
        <w:t xml:space="preserve">If the Offer is consummated, Purchaser will not seek the approval of Adverum’s remaining stockholders before effecting the Merger. Lilly, Purchaser and Adverum have agreed to take all necessary action to cause the Merger to become effective as soon as practicable following the consummation (within the meaning of Section 251(h)(6) of the DGCL) of the Offer without a vote of holders of the Shares in accordance with Section 251(h). </w:t>
      </w:r>
    </w:p>
    <w:p>
      <w:pPr>
        <w:pStyle w:val="TextBody"/>
        <w:bidi w:val="0"/>
        <w:spacing w:before="240" w:after="0"/>
        <w:jc w:val="left"/>
        <w:rPr>
          <w:rFonts w:ascii="Times New Roman" w:hAnsi="Times New Roman"/>
          <w:sz w:val="20"/>
        </w:rPr>
      </w:pPr>
      <w:r>
        <w:rPr>
          <w:rFonts w:ascii="Times New Roman" w:hAnsi="Times New Roman"/>
          <w:sz w:val="20"/>
        </w:rPr>
        <w:t xml:space="preserve">Purchaser expressly reserves the right at any time or from time to time, in its sole discretion, to waive any Offer Condition or modify or amend the terms of the Offer, in whole or in part, including the Offer Price, except that Adverum’s prior written consent (which consent will not be unreasonably withheld, conditioned or delayed) is required for Purchaser to: (i) decrease the Cash Consideration or amend the terms of the CVRs or the CVR Agreement; (ii) change the form of the consideration payable in the Offer; (iii) decrease the maximum number of Shares sought pursuant to the Offer; (iv) amend or waive the Minimum Tender Condition or the Termination Condition (as defined in the Offer to Purchase); (v) add to or modify the Offer Conditions in a manner adverse to the holders of Shares (as a group in their capacity as such); (vi) extend the Expiration Time except as required or expressly permitted by the Merger Agreement or provide any “subsequent offering period” (or any extension thereof) within the meaning of Rule 14d-11 promulgated under the Exchange Act; or (vii) make any other change in the terms or conditions of the Offer that is adverse in any material respect to the holders of Shares (as a group in their capacity as such). </w:t>
      </w:r>
    </w:p>
    <w:p>
      <w:pPr>
        <w:pStyle w:val="TextBody"/>
        <w:bidi w:val="0"/>
        <w:spacing w:before="240" w:after="0"/>
        <w:jc w:val="left"/>
        <w:rPr>
          <w:rFonts w:ascii="Times New Roman" w:hAnsi="Times New Roman"/>
          <w:sz w:val="20"/>
        </w:rPr>
      </w:pPr>
      <w:r>
        <w:rPr>
          <w:rFonts w:ascii="Times New Roman" w:hAnsi="Times New Roman"/>
          <w:sz w:val="20"/>
        </w:rPr>
        <w:t xml:space="preserve">Any extension, delay, termination or amendment of the Offer will be followed as promptly as practicable by a public announcement thereof, and such announcement in the case of an extension will be made no later than 9:00 a.m., Eastern Time, on the business day after the previously scheduled Expiration Time. Without limiting the manner in which Purchaser may choose to make any public announcement, Purchaser intends to make announcements regarding the Offer by issuing a press release and making any appropriate filing with the SEC. </w:t>
      </w:r>
    </w:p>
    <w:p>
      <w:pPr>
        <w:pStyle w:val="TextBody"/>
        <w:bidi w:val="0"/>
        <w:spacing w:before="240" w:after="0"/>
        <w:jc w:val="left"/>
        <w:rPr>
          <w:rFonts w:ascii="Times New Roman" w:hAnsi="Times New Roman"/>
          <w:sz w:val="20"/>
        </w:rPr>
      </w:pPr>
      <w:r>
        <w:rPr>
          <w:rFonts w:ascii="Times New Roman" w:hAnsi="Times New Roman"/>
          <w:sz w:val="20"/>
        </w:rPr>
        <w:t xml:space="preserve">Purchaser is not providing for guaranteed delivery procedures. Therefore, Adverum stockholders must allow sufficient time for the necessary tender procedures to be completed during normal business hours of The Depository Trust Company (“DTC”), which end earlier than the Expiration Time. Normal business hours of DTC are between 8:00 a.m. and 5:00 p.m., Eastern Time, Monday through Friday. </w:t>
      </w:r>
      <w:r>
        <w:rPr>
          <w:rFonts w:ascii="Times New Roman" w:hAnsi="Times New Roman"/>
          <w:b/>
          <w:sz w:val="20"/>
        </w:rPr>
        <w:t>Adverum stockholders must tender their Shares in accordance with the procedures set forth in the Offer to Purchase and the related Letter of Transmittal prior to the Expiration Time.</w:t>
      </w:r>
      <w:r>
        <w:rPr>
          <w:rFonts w:ascii="Times New Roman" w:hAnsi="Times New Roman"/>
          <w:sz w:val="20"/>
        </w:rPr>
        <w:t xml:space="preserve"> </w:t>
      </w:r>
      <w:r>
        <w:rPr>
          <w:rFonts w:ascii="Times New Roman" w:hAnsi="Times New Roman"/>
          <w:b/>
          <w:sz w:val="20"/>
        </w:rPr>
        <w:t>Tenders received by the Depositary after the Expiration Time will be disregarded and of no effect.</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Offer, Purchaser will be deemed to have accepted for payment, and thereby purchased, Shares validly tendered to Purchaser and not validly withdrawn as, if and when Purchaser gives oral or written notice to the Depositary of Purchaser’s acceptance for payment of such Shares pursuant to the Offer. Upon the terms and subject to the conditions of the Offer, payment for Shares accepted for payment pursuant to the Offer will be made by deposit of the Cash Consideration for such Shares with the Depositary, which will act as agent for tendering stockholders for the purpose of receiving payments from Purchaser and transmitting such payments to tendering stockholders whose Shares have been accepted for payment. If Purchaser extends the Offer, is delayed in its acceptance of Shares for payment or is unable to accept Shares for payment pursuant to the Offer for any reason,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then, without prejudice to Purchaser’s rights under the Offer and the Merger Agreement, the Depositary may retain tendered Shares on Purchaser’s behalf, and such Shares may not be withdrawn except to the extent that tendering stockholders are entitled to withdrawal rights as described in Section 4 of the Offer to Purchase. However, Purchaser’s ability to delay the payment for Shares that it has accepted for payment is limited by Rule 14e-1(c) under the Exchange Act, which requires Purchaser to pay the consideration offered or return the securities deposited by or on behalf of stockholders promptly after the termination or withdrawal of the Offer. </w:t>
      </w:r>
      <w:r>
        <w:rPr>
          <w:rFonts w:ascii="Times New Roman" w:hAnsi="Times New Roman"/>
          <w:b/>
          <w:sz w:val="20"/>
        </w:rPr>
        <w:t>Under no circumstances will Purchaser pay interest on the Offer Price for Shares accepted for payment in the Offer, including by reason of any extension of the Offer or any delay in making such payment.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all cases, Purchaser will pay for Shares validly tendered and accepted for payment pursuant to the Offer only after timely receipt by the Depositary of (i) to the extent the Shares are not already held with the Depositary, the certificates evidencing such Shares (the “Share Certificates”) or confirmation of a book-entry transfer of such Shares into the Depositary’s account at DTC (such a confirmation, a “Book-Entry Confirmation”) pursuant to the procedures set forth in Section 3 of the Offer to Purchase, (ii) the Letter of Transmittal, properly completed and duly executed, with any required signature guarantees (or, in the case of a book-entry transfer or a tender through DTC’s Automated Tender Offer Program, an Agent’s Message (as defined in the Offer to Purchase) in lieu of the Letter of Transmittal) and (iii) any other documents required by the Letter of Transmittal or the Depositary, in each case prior to the Expiration Time. Accordingly, tendering stockholders may be paid at different times depending upon when the Share Certificates and Letter of Transmittal, or Book-Entry Confirmations and Agent’s Message, in each case, with respect to Shares that are actually received by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Shares tendered pursuant to the Offer may be withdrawn at any time prior to the Expiration Time. Thereafter, tenders are irrevocable, except that if Purchaser has not accepted your Shares for payment within 60 days of commencement of the Offer, you may withdraw them at any time after January 6, 2026, the 60th day after commencement of the Offer, until Purchaser accepts your Shares for payment. </w:t>
      </w:r>
    </w:p>
    <w:p>
      <w:pPr>
        <w:pStyle w:val="TextBody"/>
        <w:bidi w:val="0"/>
        <w:spacing w:before="240" w:after="0"/>
        <w:jc w:val="left"/>
        <w:rPr>
          <w:rFonts w:ascii="Times New Roman" w:hAnsi="Times New Roman"/>
          <w:sz w:val="20"/>
        </w:rPr>
      </w:pPr>
      <w:r>
        <w:rPr>
          <w:rFonts w:ascii="Times New Roman" w:hAnsi="Times New Roman"/>
          <w:sz w:val="20"/>
        </w:rPr>
        <w:t xml:space="preserve">For a withdrawal of Shares to be effective, the Depositary must timely receive a written notice of withdrawal at one of its addresses set forth on the back cover of the Offer to Purchase. Any notice of withdrawal must specify the name of the person who tendered the Shares to be withdrawn, the number of Shares to be withdrawn and the names in which the Share Certificates are registered, if different from the person who tendered such Shares. The signature(s) on the notice of withdrawal must be guaranteed by an Eligible Institution (as defined in the Offer to Purchase), unless such Shares have been tendered for the account of an Eligible Institution. If Shares have been tendered pursuant to the procedures for book-entry transfer as set forth in Section 3 of the Offer to Purchase, any notice of withdrawal must specify the name and number of the account at DTC to be credited with the withdrawn Shares. If Share Certificates representing the Shares to be withdrawn have been delivered or otherwise identified to the Depositary, then, prior to the physical release of such Share Certificates, the name of the holder(s) of record and the serial numbers shown on such Share Certificates must also be furnished to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Withdrawals of tenders of Shares may not be rescinded and any Shares validly withdrawn will be deemed not validly tendered for purposes of the Offer. Withdrawn Shares may, however, be retendered by following one of the procedures for tendering Shares described in Section 3 of the Offer to Purchase at any time prior to the Expiration Time. </w:t>
      </w:r>
    </w:p>
    <w:p>
      <w:pPr>
        <w:pStyle w:val="TextBody"/>
        <w:bidi w:val="0"/>
        <w:spacing w:before="240" w:after="0"/>
        <w:jc w:val="left"/>
        <w:rPr>
          <w:rFonts w:ascii="Times New Roman" w:hAnsi="Times New Roman"/>
          <w:sz w:val="20"/>
        </w:rPr>
      </w:pPr>
      <w:r>
        <w:rPr>
          <w:rFonts w:ascii="Times New Roman" w:hAnsi="Times New Roman"/>
          <w:sz w:val="20"/>
        </w:rPr>
        <w:t xml:space="preserve">All questions as to the validity, form, eligibility (including time of receipt) and acceptance for payment of any tender of Shares will be determined by Purchaser in its sole discretion, which determination will be final and binding on all parties, subject to the rights of holders of Shares to challenge such determination with respect to their Shares in a court of competent jurisdiction and any subsequent judgment of any such court. Purchaser reserves the absolute right to reject any and all tenders determined by the Purchaser not to be in proper form or the acceptance for payment of which may, in Purchaser’s opinion, be unlawful. Purchaser also reserves the absolute right to waive any defect or irregularity in the tender of any Shares of any particular stockholder, whether or not similar defects or irregularities are waived in the case of other stockholders. No tender of Shares will be deemed to have been validly made until all defects and irregularities have been cured or waived to Purchaser’s satisfaction. None of Purchaser, Lilly or any of their respective affiliates or assigns, the Depositary, Georgeson LLC (the “Information Agent”) or any other person will be under any duty to give any notification of any defects or irregularities in tenders or incur any liability for failure to give any such notification. Subject to the terms of the Merger Agreement and the rights of holders of Shares to challenge any interpretation with respect to their Shares in a court of competent jurisdiction and any subsequent judgment of any such court, Purchaser’s interpretation of the terms and conditions of the Offer (including the Letter of Transmittal and the instructions thereto) will be final and binding.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information required to be disclosed by paragraph (d)(1) of Rule 14d-6 of the General Rules and Regulations under the Exchange Act is contained in the Offer to Purchase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Adverum has provided Purchaser with its stockholder list and security position listings for the purpose of disseminating the Offer to Purchase, the related Letter of Transmittal and other materials related to the Offer to holders of Shares. The Offer to Purchase, the related Letter of Transmittal and other materials related to the Offer, including the Schedule 14D-9, will be mailed to record holders of Shares whose names appear on Adverum’s stockholder list and will be furnished for subsequent transmittal to beneficial owners of Shares to brokers, dealers, commercial banks, trust companies and other nominees whose names, or the names of whose nominees, appear on Adverum’s stockholder list or, if applicable, who are listed as participants in a clearing agency’s security position listing. </w:t>
      </w:r>
    </w:p>
    <w:p>
      <w:pPr>
        <w:pStyle w:val="TextBody"/>
        <w:bidi w:val="0"/>
        <w:spacing w:before="240" w:after="0"/>
        <w:jc w:val="left"/>
        <w:rPr>
          <w:rFonts w:ascii="Times New Roman" w:hAnsi="Times New Roman"/>
          <w:sz w:val="20"/>
        </w:rPr>
      </w:pPr>
      <w:r>
        <w:rPr>
          <w:rFonts w:ascii="Times New Roman" w:hAnsi="Times New Roman"/>
          <w:sz w:val="20"/>
        </w:rPr>
        <w:t xml:space="preserve">The exchange of Shares for cash and CVRs pursuant to the Offer or the Merger will be a taxable transaction to a U.S. Holder (as defined in Section 5 of the Offer to Purchase) for U.S. federal income tax purposes. The amount of gain or loss a U.S. Holder recognizes, and the timing and character of such gain or loss, depend on the U.S. federal income tax treatment of the CVRs. The installment method of reporting any gain attributable to the receipt of a CVR generally will not be available with respect to the disposition of Shares pursuant to the Offer or the Merger because the Shares are traded on an established securities market. There is no legal authority directly addressing the U.S. federal income tax treatment of the receipt of the CVRs in connection with the Offer or the Merger, and the U.S. federal income tax treatment of the CVRs is subject to uncertainty. Lilly intends to treat a stockholder’s receipt of a CVR pursuant to the Offer or the Merger as the receipt of additional consideration paid in the Offer or the Merger as part of a “closed transaction.” As part of a closed transaction for U.S. federal income tax purposes, a U.S. Holder who sells Shares pursuant to the Offer or receives cash and CVRs in exchange for Shares pursuant to the Merger generally will recognize capital gain or loss for U.S. federal income tax purposes in an amount equal to the difference, if any, between (i) the amount of cash received plus the fair market value (determined as of the closing of the Offer or the Effective Time, as the case may be) of any CVRs received, and (ii) the U.S. Holder’s adjusted tax basis in the Shares sold pursuant to the Offer or converted pursuant to the Merger. See Section 5 of the Offer to Purchase for a more detailed discussion of the U.S. federal income tax treatment of the Offer. You are urged to consult with your tax advisor as to the particular tax consequences to you of the Offer and the Merger in light of your particular circumstances (including the application and effect of any U.S. federal, state, local or non-U.S. income and other tax laws). </w:t>
      </w:r>
    </w:p>
    <w:p>
      <w:pPr>
        <w:pStyle w:val="TextBody"/>
        <w:bidi w:val="0"/>
        <w:spacing w:before="240" w:after="0"/>
        <w:jc w:val="left"/>
        <w:rPr>
          <w:rFonts w:ascii="Times New Roman" w:hAnsi="Times New Roman"/>
          <w:b/>
          <w:sz w:val="20"/>
        </w:rPr>
      </w:pPr>
      <w:r>
        <w:rPr>
          <w:rFonts w:ascii="Times New Roman" w:hAnsi="Times New Roman"/>
          <w:b/>
          <w:sz w:val="20"/>
        </w:rPr>
        <w:t xml:space="preserve">The Offer to Purchase and the related Letter of Transmittal contain important information, and Adverum’s stockholders should read both carefully and in their entirety before making a decision with respect to the Offer. </w:t>
      </w:r>
    </w:p>
    <w:p>
      <w:pPr>
        <w:pStyle w:val="TextBody"/>
        <w:bidi w:val="0"/>
        <w:spacing w:before="240" w:after="0"/>
        <w:jc w:val="left"/>
        <w:rPr>
          <w:rFonts w:ascii="Times New Roman" w:hAnsi="Times New Roman"/>
          <w:sz w:val="20"/>
        </w:rPr>
      </w:pPr>
      <w:r>
        <w:rPr>
          <w:rFonts w:ascii="Times New Roman" w:hAnsi="Times New Roman"/>
          <w:sz w:val="20"/>
        </w:rPr>
        <w:t xml:space="preserve">Questions or requests for assistance may be directed to the Information Agent at the address and telephone numbers listed below. Additional copies of the Offer to Purchase, the related Letter of Transmittal and other materials related to the Offer may be obtained at no cost to stockholders from the Information Agent. Additionally, copies of the Offer to Purchase, the related Letter of Transmittal and any other materials related to the Offer are available free of charge at www.sec.gov. Stockholders may also contact their brokers, dealers, commercial banks, trust companies or other nominees for assistance. Neither Lilly nor Purchaser will pay any fees or commissions to any broker, dealer, commercial bank, trust company or to any other person (other than to the Depositary and the Information Agent) in connection with the solicitation of tenders of Shares pursuant to the Offer. </w:t>
      </w:r>
    </w:p>
    <w:p>
      <w:pPr>
        <w:pStyle w:val="TextBody"/>
        <w:bidi w:val="0"/>
        <w:spacing w:before="240" w:after="0"/>
        <w:jc w:val="center"/>
        <w:rPr>
          <w:rFonts w:ascii="Times New Roman" w:hAnsi="Times New Roman"/>
          <w:i/>
          <w:sz w:val="20"/>
        </w:rPr>
      </w:pPr>
      <w:r>
        <w:rPr>
          <w:rFonts w:ascii="Times New Roman" w:hAnsi="Times New Roman"/>
          <w:i/>
          <w:sz w:val="20"/>
        </w:rPr>
        <w:t xml:space="preserve">The Information Agent for the Offer is: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023745" cy="702945"/>
            <wp:effectExtent l="0" t="0" r="0" b="0"/>
            <wp:docPr id="2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8" descr=""/>
                    <pic:cNvPicPr>
                      <a:picLocks noChangeAspect="1" noChangeArrowheads="1"/>
                    </pic:cNvPicPr>
                  </pic:nvPicPr>
                  <pic:blipFill>
                    <a:blip r:embed="rId13"/>
                    <a:stretch>
                      <a:fillRect/>
                    </a:stretch>
                  </pic:blipFill>
                  <pic:spPr bwMode="auto">
                    <a:xfrm>
                      <a:off x="0" y="0"/>
                      <a:ext cx="2023745" cy="70294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Georgeson LLC </w:t>
      </w:r>
    </w:p>
    <w:p>
      <w:pPr>
        <w:pStyle w:val="TextBody"/>
        <w:bidi w:val="0"/>
        <w:spacing w:before="0" w:after="0"/>
        <w:jc w:val="center"/>
        <w:rPr>
          <w:rFonts w:ascii="Times New Roman" w:hAnsi="Times New Roman"/>
          <w:b/>
          <w:sz w:val="20"/>
        </w:rPr>
      </w:pPr>
      <w:r>
        <w:rPr>
          <w:rFonts w:ascii="Times New Roman" w:hAnsi="Times New Roman"/>
          <w:b/>
          <w:sz w:val="20"/>
        </w:rPr>
        <w:t xml:space="preserve">51 West 52nd Street, 6th Floor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NY 10019 </w:t>
      </w:r>
    </w:p>
    <w:p>
      <w:pPr>
        <w:pStyle w:val="TextBody"/>
        <w:bidi w:val="0"/>
        <w:spacing w:before="0" w:after="0"/>
        <w:jc w:val="center"/>
        <w:rPr>
          <w:rFonts w:ascii="Times New Roman" w:hAnsi="Times New Roman"/>
          <w:b/>
          <w:sz w:val="20"/>
        </w:rPr>
      </w:pPr>
      <w:r>
        <w:rPr>
          <w:rFonts w:ascii="Times New Roman" w:hAnsi="Times New Roman"/>
          <w:b/>
          <w:sz w:val="20"/>
        </w:rPr>
        <w:t xml:space="preserve">Shareholders, Banks and Brokers </w:t>
      </w:r>
    </w:p>
    <w:p>
      <w:pPr>
        <w:pStyle w:val="TextBody"/>
        <w:bidi w:val="0"/>
        <w:spacing w:before="0" w:after="0"/>
        <w:jc w:val="center"/>
        <w:rPr>
          <w:rFonts w:ascii="Times New Roman" w:hAnsi="Times New Roman"/>
          <w:b/>
          <w:sz w:val="20"/>
        </w:rPr>
      </w:pPr>
      <w:r>
        <w:rPr>
          <w:rFonts w:ascii="Times New Roman" w:hAnsi="Times New Roman"/>
          <w:b/>
          <w:sz w:val="20"/>
        </w:rPr>
        <w:t xml:space="preserve">Toll Free: (888) 446-9207 </w:t>
      </w:r>
    </w:p>
    <w:p>
      <w:pPr>
        <w:pStyle w:val="TextBody"/>
        <w:bidi w:val="0"/>
        <w:spacing w:before="0" w:after="0"/>
        <w:jc w:val="center"/>
        <w:rPr>
          <w:rFonts w:ascii="Times New Roman" w:hAnsi="Times New Roman"/>
          <w:b/>
          <w:sz w:val="20"/>
        </w:rPr>
      </w:pPr>
      <w:r>
        <w:rPr>
          <w:rFonts w:ascii="Times New Roman" w:hAnsi="Times New Roman"/>
          <w:b/>
          <w:sz w:val="20"/>
        </w:rPr>
        <w:t xml:space="preserve">Outside the U.S. and Canada: (862) 243-7027 </w:t>
      </w:r>
    </w:p>
    <w:p>
      <w:pPr>
        <w:pStyle w:val="TextBody"/>
        <w:bidi w:val="0"/>
        <w:spacing w:before="0" w:after="0"/>
        <w:jc w:val="center"/>
        <w:rPr>
          <w:rFonts w:ascii="Times New Roman" w:hAnsi="Times New Roman"/>
          <w:b/>
          <w:sz w:val="20"/>
        </w:rPr>
      </w:pPr>
      <w:r>
        <w:rPr>
          <w:rFonts w:ascii="Times New Roman" w:hAnsi="Times New Roman"/>
          <w:b/>
          <w:sz w:val="20"/>
        </w:rPr>
        <w:t xml:space="preserve">Email: Adverumoffer@georgeson.com </w:t>
      </w:r>
    </w:p>
    <w:p>
      <w:pPr>
        <w:pStyle w:val="TextBody"/>
        <w:bidi w:val="0"/>
        <w:spacing w:before="240" w:after="0"/>
        <w:jc w:val="left"/>
        <w:rPr>
          <w:rFonts w:ascii="Times New Roman" w:hAnsi="Times New Roman"/>
          <w:sz w:val="20"/>
        </w:rPr>
      </w:pPr>
      <w:r>
        <w:rPr>
          <w:rFonts w:ascii="Times New Roman" w:hAnsi="Times New Roman"/>
          <w:sz w:val="20"/>
        </w:rPr>
        <w:t xml:space="preserve">November 7, 2025 </w:t>
      </w:r>
    </w:p>
    <w:p>
      <w:pPr>
        <w:pStyle w:val="TextBody"/>
        <w:bidi w:val="0"/>
        <w:spacing w:before="0" w:after="0"/>
        <w:jc w:val="right"/>
        <w:rPr>
          <w:rFonts w:ascii="Times New Roman" w:hAnsi="Times New Roman"/>
          <w:b/>
          <w:sz w:val="20"/>
        </w:rPr>
      </w:pPr>
      <w:bookmarkStart w:id="35" w:name="d67752dex99d4.htm"/>
      <w:bookmarkStart w:id="36" w:name="ksd67752dex99d4"/>
      <w:bookmarkEnd w:id="35"/>
      <w:bookmarkEnd w:id="36"/>
      <w:r>
        <w:rPr>
          <w:rFonts w:ascii="Times New Roman" w:hAnsi="Times New Roman"/>
          <w:b/>
          <w:sz w:val="20"/>
        </w:rPr>
        <w:t xml:space="preserve">Exhibit (d)(4) </w:t>
      </w:r>
      <w:r>
        <w:br w:type="page"/>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CONFIDENTIALITY AGREEMENT </w:t>
      </w:r>
    </w:p>
    <w:p>
      <w:pPr>
        <w:pStyle w:val="TextBody"/>
        <w:bidi w:val="0"/>
        <w:spacing w:before="240" w:after="0"/>
        <w:jc w:val="left"/>
        <w:rPr>
          <w:rFonts w:ascii="Times New Roman" w:hAnsi="Times New Roman"/>
          <w:sz w:val="20"/>
        </w:rPr>
      </w:pPr>
      <w:r>
        <w:rPr>
          <w:rFonts w:ascii="Times New Roman" w:hAnsi="Times New Roman"/>
          <w:b/>
          <w:sz w:val="20"/>
        </w:rPr>
        <w:t>THIS CONFIDENTIALITY AGREEMENT</w:t>
      </w:r>
      <w:r>
        <w:rPr>
          <w:rFonts w:ascii="Times New Roman" w:hAnsi="Times New Roman"/>
          <w:sz w:val="20"/>
        </w:rPr>
        <w:t xml:space="preserve"> (the “</w:t>
      </w:r>
      <w:r>
        <w:rPr>
          <w:rFonts w:ascii="Times New Roman" w:hAnsi="Times New Roman"/>
          <w:b/>
          <w:sz w:val="20"/>
        </w:rPr>
        <w:t>Agreement</w:t>
      </w:r>
      <w:r>
        <w:rPr>
          <w:rFonts w:ascii="Times New Roman" w:hAnsi="Times New Roman"/>
          <w:sz w:val="20"/>
        </w:rPr>
        <w:t>”) is made on the last date signed below, (the “</w:t>
      </w:r>
      <w:r>
        <w:rPr>
          <w:rFonts w:ascii="Times New Roman" w:hAnsi="Times New Roman"/>
          <w:b/>
          <w:sz w:val="20"/>
        </w:rPr>
        <w:t>Effective Date</w:t>
      </w:r>
      <w:r>
        <w:rPr>
          <w:rFonts w:ascii="Times New Roman" w:hAnsi="Times New Roman"/>
          <w:sz w:val="20"/>
        </w:rPr>
        <w:t xml:space="preserve">”), between </w:t>
      </w:r>
      <w:r>
        <w:rPr>
          <w:rFonts w:ascii="Times New Roman" w:hAnsi="Times New Roman"/>
          <w:b/>
          <w:sz w:val="20"/>
        </w:rPr>
        <w:t>Eli Lilly and Company and its Affiliates</w:t>
      </w:r>
      <w:r>
        <w:rPr>
          <w:rFonts w:ascii="Times New Roman" w:hAnsi="Times New Roman"/>
          <w:sz w:val="20"/>
        </w:rPr>
        <w:t>, having its principal place of business at Lilly Corporate Center, Indianapolis, Indiana 46285, United States (“</w:t>
      </w:r>
      <w:r>
        <w:rPr>
          <w:rFonts w:ascii="Times New Roman" w:hAnsi="Times New Roman"/>
          <w:b/>
          <w:sz w:val="20"/>
        </w:rPr>
        <w:t>Lilly</w:t>
      </w:r>
      <w:r>
        <w:rPr>
          <w:rFonts w:ascii="Times New Roman" w:hAnsi="Times New Roman"/>
          <w:sz w:val="20"/>
        </w:rPr>
        <w:t xml:space="preserve">”), and </w:t>
      </w:r>
      <w:r>
        <w:rPr>
          <w:rFonts w:ascii="Times New Roman" w:hAnsi="Times New Roman"/>
          <w:b/>
          <w:sz w:val="20"/>
        </w:rPr>
        <w:t>Adverum Biotechnologies, Inc.</w:t>
      </w:r>
      <w:r>
        <w:rPr>
          <w:rFonts w:ascii="Times New Roman" w:hAnsi="Times New Roman"/>
          <w:sz w:val="20"/>
        </w:rPr>
        <w:t>, having its principal place of business at 100 Cardinal Way, Redwood City, California, 94063, United States (“</w:t>
      </w:r>
      <w:r>
        <w:rPr>
          <w:rFonts w:ascii="Times New Roman" w:hAnsi="Times New Roman"/>
          <w:b/>
          <w:sz w:val="20"/>
        </w:rPr>
        <w:t>Adverum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parties desire to exchange certain confidential and proprietary information in connection with Adverum’s ophthalmology gene therapy pipeline, for potential business or scientific transactions (the “</w:t>
      </w:r>
      <w:r>
        <w:rPr>
          <w:rFonts w:ascii="Times New Roman" w:hAnsi="Times New Roman"/>
          <w:b/>
          <w:sz w:val="20"/>
        </w:rPr>
        <w:t>Purpose</w:t>
      </w:r>
      <w:r>
        <w:rPr>
          <w:rFonts w:ascii="Times New Roman" w:hAnsi="Times New Roman"/>
          <w:sz w:val="20"/>
        </w:rPr>
        <w:t xml:space="preserve">”). In consideration of the following terms and conditions, the parties agree as follows: </w:t>
      </w:r>
    </w:p>
    <w:p>
      <w:pPr>
        <w:pStyle w:val="TextBody"/>
        <w:bidi w:val="0"/>
        <w:spacing w:before="240" w:after="0"/>
        <w:jc w:val="left"/>
        <w:rPr>
          <w:rFonts w:ascii="Times New Roman" w:hAnsi="Times New Roman"/>
          <w:b/>
          <w:sz w:val="20"/>
        </w:rPr>
      </w:pPr>
      <w:r>
        <w:rPr>
          <w:rFonts w:ascii="Times New Roman" w:hAnsi="Times New Roman"/>
          <w:b/>
          <w:sz w:val="20"/>
        </w:rPr>
        <w:t xml:space="preserve">Article I. </w:t>
      </w:r>
      <w:r>
        <w:rPr>
          <w:rFonts w:ascii="Times New Roman" w:hAnsi="Times New Roman"/>
          <w:b/>
          <w:sz w:val="20"/>
          <w:u w:val="single"/>
        </w:rPr>
        <w:t>Definitions</w:t>
      </w:r>
      <w:r>
        <w:rPr>
          <w:rFonts w:ascii="Times New Roman" w:hAnsi="Times New Roman"/>
          <w:b/>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pPr>
            <w:r>
              <w:rPr/>
              <w:t>“</w:t>
            </w:r>
            <w:r>
              <w:rPr>
                <w:rFonts w:ascii="Times New Roman" w:hAnsi="Times New Roman"/>
                <w:b/>
                <w:sz w:val="20"/>
              </w:rPr>
              <w:t>Affiliates</w:t>
            </w:r>
            <w:r>
              <w:rPr>
                <w:rFonts w:ascii="Times New Roman" w:hAnsi="Times New Roman"/>
                <w:sz w:val="20"/>
              </w:rPr>
              <w:t xml:space="preserve">” means any corporation, firm, partnership or other entity which directly or indirectly controls, is controlled by, or is under common control with a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pPr>
            <w:r>
              <w:rPr/>
              <w:t>“</w:t>
            </w:r>
            <w:r>
              <w:rPr>
                <w:rFonts w:ascii="Times New Roman" w:hAnsi="Times New Roman"/>
                <w:b/>
                <w:sz w:val="20"/>
              </w:rPr>
              <w:t>Confidential Information</w:t>
            </w:r>
            <w:r>
              <w:rPr>
                <w:rFonts w:ascii="Times New Roman" w:hAnsi="Times New Roman"/>
                <w:sz w:val="20"/>
              </w:rPr>
              <w:t xml:space="preserve">” means all confidential or proprietary information of the Disclosing Party or its Affiliates, regardless of its form or medium as provided either directly or indirectly in writing, orally, electronically or by inspection of tangible objects to the Receiving Party in connection with the Purpose; </w:t>
            </w:r>
            <w:r>
              <w:rPr>
                <w:rFonts w:ascii="Times New Roman" w:hAnsi="Times New Roman"/>
                <w:sz w:val="20"/>
                <w:u w:val="single"/>
              </w:rPr>
              <w:t>provided</w:t>
            </w:r>
            <w:r>
              <w:rPr>
                <w:rFonts w:ascii="Times New Roman" w:hAnsi="Times New Roman"/>
                <w:sz w:val="20"/>
              </w:rPr>
              <w:t xml:space="preserve"> that, for information disclosed only in non-tangible form, </w:t>
            </w:r>
            <w:r>
              <w:rPr>
                <w:rFonts w:ascii="Times New Roman" w:hAnsi="Times New Roman"/>
                <w:i/>
                <w:sz w:val="20"/>
              </w:rPr>
              <w:t>i.e</w:t>
            </w:r>
            <w:r>
              <w:rPr>
                <w:rFonts w:ascii="Times New Roman" w:hAnsi="Times New Roman"/>
                <w:sz w:val="20"/>
              </w:rPr>
              <w:t xml:space="preserve">., orally or visually, the Disclosing Party summarizes the non-tangible disclosure in writing, marks such summary “Confidential” and provides such summary to the Receiving Party within 30 days following the disclosure. Notwithstanding the foregoing, failure to summarize or mark the information disclosed hereunder as “Confidential” shall not cause the information to be considered non-confidential, provided such information clearly should have been known by a reasonable person (with expertise on the subject matter) based on the nature of the information and the circumstances of its disclosure to be confidential or proprietary information. Confidential Information shall not include any information that the Receiving Party can show by competent evidence: (i) is already known by the Receiving Party at the time it is disclosed to the Receiving Party by the Disclosing Party; (ii) is or becomes generally known to the public through no act or omission of the Receiving Party in violation of the terms of this Agreement; (iii) has been lawfully received by the Receiving Party from a third party without restriction on its disclosure and without, to the knowledge of the Receiving Party, a breach by such third party of an obligation of confidentiality to the Disclosing Party; or (iv) has been independently developed by the Receiving Party without use of or reference to the Confidential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pPr>
            <w:r>
              <w:rPr/>
              <w:t>“</w:t>
            </w:r>
            <w:r>
              <w:rPr>
                <w:rFonts w:ascii="Times New Roman" w:hAnsi="Times New Roman"/>
                <w:b/>
                <w:sz w:val="20"/>
              </w:rPr>
              <w:t>Disclosing Party</w:t>
            </w:r>
            <w:r>
              <w:rPr>
                <w:rFonts w:ascii="Times New Roman" w:hAnsi="Times New Roman"/>
                <w:sz w:val="20"/>
              </w:rPr>
              <w:t xml:space="preserve">” means the party disclosing Confidential Information to the other party or such other party’s Affiliates pursuant to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(d)</w:t>
            </w:r>
          </w:p>
        </w:tc>
        <w:tc>
          <w:tcPr>
            <w:tcW w:w="9799" w:type="dxa"/>
            <w:tcBorders/>
          </w:tcPr>
          <w:p>
            <w:pPr>
              <w:pStyle w:val="TableContents"/>
              <w:bidi w:val="0"/>
              <w:spacing w:before="0" w:after="0"/>
              <w:jc w:val="left"/>
              <w:rPr/>
            </w:pPr>
            <w:r>
              <w:rPr/>
              <w:t>“</w:t>
            </w:r>
            <w:r>
              <w:rPr>
                <w:rFonts w:ascii="Times New Roman" w:hAnsi="Times New Roman"/>
                <w:b/>
                <w:sz w:val="20"/>
              </w:rPr>
              <w:t>Receiving Party</w:t>
            </w:r>
            <w:r>
              <w:rPr>
                <w:rFonts w:ascii="Times New Roman" w:hAnsi="Times New Roman"/>
                <w:sz w:val="20"/>
              </w:rPr>
              <w:t xml:space="preserve">” means the party receiving Confidential Information from the other party or such other party’s Affiliates pursuant to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(e)</w:t>
            </w:r>
          </w:p>
        </w:tc>
        <w:tc>
          <w:tcPr>
            <w:tcW w:w="9799" w:type="dxa"/>
            <w:tcBorders/>
          </w:tcPr>
          <w:p>
            <w:pPr>
              <w:pStyle w:val="TableContents"/>
              <w:bidi w:val="0"/>
              <w:spacing w:before="0" w:after="0"/>
              <w:jc w:val="left"/>
              <w:rPr/>
            </w:pPr>
            <w:r>
              <w:rPr/>
              <w:t>“</w:t>
            </w:r>
            <w:r>
              <w:rPr>
                <w:rFonts w:ascii="Times New Roman" w:hAnsi="Times New Roman"/>
                <w:b/>
                <w:sz w:val="20"/>
              </w:rPr>
              <w:t>Representatives</w:t>
            </w:r>
            <w:r>
              <w:rPr>
                <w:rFonts w:ascii="Times New Roman" w:hAnsi="Times New Roman"/>
                <w:sz w:val="20"/>
              </w:rPr>
              <w:t xml:space="preserve">” means, individually and collectively, the officers, directors, employees, agents, consultants and/or independent contractors of a party or its Affiliates.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b/>
          <w:sz w:val="20"/>
        </w:rPr>
        <w:t xml:space="preserve">Article II. </w:t>
      </w:r>
      <w:r>
        <w:rPr>
          <w:rFonts w:ascii="Times New Roman" w:hAnsi="Times New Roman"/>
          <w:b/>
          <w:sz w:val="20"/>
          <w:u w:val="single"/>
        </w:rPr>
        <w:t>Restrictions on Disclosure and Use</w:t>
      </w:r>
      <w:r>
        <w:rPr>
          <w:rFonts w:ascii="Times New Roman" w:hAnsi="Times New Roman"/>
          <w:b/>
          <w:sz w:val="20"/>
        </w:rPr>
        <w:t>.</w:t>
      </w:r>
      <w:r>
        <w:rPr>
          <w:rFonts w:ascii="Times New Roman" w:hAnsi="Times New Roman"/>
          <w:sz w:val="20"/>
        </w:rPr>
        <w:t xml:space="preserve"> The Receiving Party shall keep confidential and not publish, make available or otherwise disclose any Confidential Information to any third party, without the Disclosing Party’s express prior written consent; provided however, the Receiving Party may disclose the Confidential Information to those of its Affiliates and Representatives who need to know the Confidential Information in connection with the Purpose and are bound by confidentiality obligations with respect to such Confidential Information, no less restrictive than those obligations set forth herein. The Receiving Party shall exercise at a minimum the same degree of care it would exercise to protect its own confidential information (and in no event less than a reasonable standard of care) to keep confidential the Confidential Information. The Receiving Party shall use the Confidential Information solely in connection with the Purpose. The Receiving Party shall promptly notify the Disclosing Party upon discovery of any loss or unauthorized disclosure of any Confidential Information by the Receiving Party or its Representatives. </w:t>
      </w:r>
    </w:p>
    <w:p>
      <w:pPr>
        <w:pStyle w:val="TextBody"/>
        <w:bidi w:val="0"/>
        <w:spacing w:before="240" w:after="0"/>
        <w:jc w:val="left"/>
        <w:rPr>
          <w:rFonts w:ascii="Times New Roman" w:hAnsi="Times New Roman"/>
          <w:sz w:val="20"/>
        </w:rPr>
      </w:pPr>
      <w:r>
        <w:rPr>
          <w:rFonts w:ascii="Times New Roman" w:hAnsi="Times New Roman"/>
          <w:b/>
          <w:sz w:val="20"/>
        </w:rPr>
        <w:t xml:space="preserve">Article III. </w:t>
      </w:r>
      <w:r>
        <w:rPr>
          <w:rFonts w:ascii="Times New Roman" w:hAnsi="Times New Roman"/>
          <w:b/>
          <w:sz w:val="20"/>
          <w:u w:val="single"/>
        </w:rPr>
        <w:t>Exceptions to Disclosure Restrictions</w:t>
      </w:r>
      <w:r>
        <w:rPr>
          <w:rFonts w:ascii="Times New Roman" w:hAnsi="Times New Roman"/>
          <w:b/>
          <w:sz w:val="20"/>
        </w:rPr>
        <w:t>.</w:t>
      </w:r>
      <w:r>
        <w:rPr>
          <w:rFonts w:ascii="Times New Roman" w:hAnsi="Times New Roman"/>
          <w:sz w:val="20"/>
        </w:rPr>
        <w:t xml:space="preserve"> It shall not be considered a breach of this Agreement if the Receiving Party discloses Confidential Information in order to comply with a lawfully issued court or governmental order or with a requirement of applicable law or regulation; </w:t>
      </w:r>
      <w:r>
        <w:rPr>
          <w:rFonts w:ascii="Times New Roman" w:hAnsi="Times New Roman"/>
          <w:sz w:val="20"/>
          <w:u w:val="single"/>
        </w:rPr>
        <w:t>provided</w:t>
      </w:r>
      <w:r>
        <w:rPr>
          <w:rFonts w:ascii="Times New Roman" w:hAnsi="Times New Roman"/>
          <w:sz w:val="20"/>
        </w:rPr>
        <w:t xml:space="preserve"> that: (i) the Receiving Party gives prompt written notice of such disclosure requirement to the Disclosing Party and cooperates with the Disclosing Party’s efforts, at the expense of the Disclosing Party, to oppose such disclosure or obtain a protective order for such Confidential Information, and (ii) if such disclosure requirement is not quashed or a protective order is not obtained, the Receiving Party shall only disclose those portions of the Confidential Information that it is legally required to disclose and shall make a reasonable effort to obtain confidential treatment for the disclosed Confidential Information. </w:t>
      </w:r>
    </w:p>
    <w:p>
      <w:pPr>
        <w:pStyle w:val="TextBody"/>
        <w:bidi w:val="0"/>
        <w:spacing w:before="240" w:after="0"/>
        <w:jc w:val="left"/>
        <w:rPr>
          <w:rFonts w:ascii="Times New Roman" w:hAnsi="Times New Roman"/>
          <w:sz w:val="20"/>
        </w:rPr>
      </w:pPr>
      <w:r>
        <w:rPr>
          <w:rFonts w:ascii="Times New Roman" w:hAnsi="Times New Roman"/>
          <w:b/>
          <w:sz w:val="20"/>
        </w:rPr>
        <w:t xml:space="preserve">Article IV. </w:t>
      </w:r>
      <w:r>
        <w:rPr>
          <w:rFonts w:ascii="Times New Roman" w:hAnsi="Times New Roman"/>
          <w:b/>
          <w:sz w:val="20"/>
          <w:u w:val="single"/>
        </w:rPr>
        <w:t>Compliance with Laws and Policy; Representations</w:t>
      </w:r>
      <w:r>
        <w:rPr>
          <w:rFonts w:ascii="Times New Roman" w:hAnsi="Times New Roman"/>
          <w:b/>
          <w:sz w:val="20"/>
        </w:rPr>
        <w:t>.</w:t>
      </w:r>
      <w:r>
        <w:rPr>
          <w:rFonts w:ascii="Times New Roman" w:hAnsi="Times New Roman"/>
          <w:sz w:val="20"/>
        </w:rPr>
        <w:t xml:space="preserve"> Each party agrees that it shall comply and act in accordance with all applicable provisions of federal and state laws and regulations concerning such Confidential Information. Each party represents it has the right to enter into this Agreement and to disclose the Confidential Information and that such disclosure does not violate any other third party contracts it may have. </w:t>
      </w:r>
    </w:p>
    <w:p>
      <w:pPr>
        <w:pStyle w:val="TextBody"/>
        <w:bidi w:val="0"/>
        <w:spacing w:before="240" w:after="0"/>
        <w:jc w:val="left"/>
        <w:rPr>
          <w:rFonts w:ascii="Times New Roman" w:hAnsi="Times New Roman"/>
          <w:sz w:val="20"/>
        </w:rPr>
      </w:pPr>
      <w:r>
        <w:rPr>
          <w:rFonts w:ascii="Times New Roman" w:hAnsi="Times New Roman"/>
          <w:b/>
          <w:sz w:val="20"/>
        </w:rPr>
        <w:t xml:space="preserve">Article V. </w:t>
      </w:r>
      <w:r>
        <w:rPr>
          <w:rFonts w:ascii="Times New Roman" w:hAnsi="Times New Roman"/>
          <w:b/>
          <w:sz w:val="20"/>
          <w:u w:val="single"/>
        </w:rPr>
        <w:t>Destruction of Confidential Information</w:t>
      </w:r>
      <w:r>
        <w:rPr>
          <w:rFonts w:ascii="Times New Roman" w:hAnsi="Times New Roman"/>
          <w:b/>
          <w:sz w:val="20"/>
        </w:rPr>
        <w:t>.</w:t>
      </w:r>
      <w:r>
        <w:rPr>
          <w:rFonts w:ascii="Times New Roman" w:hAnsi="Times New Roman"/>
          <w:sz w:val="20"/>
        </w:rPr>
        <w:t xml:space="preserve"> Within 30 days following the receipt of a written request from the Disclosing Party, the Receiving Party will destroy all Confidential Information received from the Disclosing Party in tangible form; provided however, the Receiving Party may retain one copy of the Confidential Information solely for the purpose of ensuring its compliance with this Agreement and applicable law. For the avoidance of doubt, the foregoing obligations in this Article shall not apply to any electronic files containing Confidential Information that are made in the ordinary course of its business information back-up procedures pursuant to the Receiving Party’s electronic record retention and destruction practices that apply to its own general electronic files and information. </w:t>
      </w:r>
    </w:p>
    <w:p>
      <w:pPr>
        <w:pStyle w:val="TextBody"/>
        <w:bidi w:val="0"/>
        <w:spacing w:before="240" w:after="0"/>
        <w:jc w:val="left"/>
        <w:rPr>
          <w:rFonts w:ascii="Times New Roman" w:hAnsi="Times New Roman"/>
          <w:sz w:val="20"/>
        </w:rPr>
      </w:pPr>
      <w:r>
        <w:rPr>
          <w:rFonts w:ascii="Times New Roman" w:hAnsi="Times New Roman"/>
          <w:b/>
          <w:sz w:val="20"/>
        </w:rPr>
        <w:t xml:space="preserve">Article VI. </w:t>
      </w:r>
      <w:r>
        <w:rPr>
          <w:rFonts w:ascii="Times New Roman" w:hAnsi="Times New Roman"/>
          <w:b/>
          <w:sz w:val="20"/>
          <w:u w:val="single"/>
        </w:rPr>
        <w:t>Term</w:t>
      </w:r>
      <w:r>
        <w:rPr>
          <w:rFonts w:ascii="Times New Roman" w:hAnsi="Times New Roman"/>
          <w:b/>
          <w:sz w:val="20"/>
        </w:rPr>
        <w:t>.</w:t>
      </w:r>
      <w:r>
        <w:rPr>
          <w:rFonts w:ascii="Times New Roman" w:hAnsi="Times New Roman"/>
          <w:sz w:val="20"/>
        </w:rPr>
        <w:t xml:space="preserve"> The term of this Agreement will expire 12 months after the Effective Date and the obligations of confidentiality and non-use shall apply to Confidential Information for the earlier of 5 years after the term expires or when such Confidential Information no longer qualifies as Confidential Information. Either party may terminate this Agreement for any reason upon 30 days’ prior written notice to the counterparty, but any such early termination will have no effect on the parties continuing obligations of confidentiality and non-use. </w:t>
      </w:r>
    </w:p>
    <w:p>
      <w:pPr>
        <w:pStyle w:val="TextBody"/>
        <w:bidi w:val="0"/>
        <w:spacing w:before="240" w:after="0"/>
        <w:jc w:val="left"/>
        <w:rPr>
          <w:rFonts w:ascii="Times New Roman" w:hAnsi="Times New Roman"/>
          <w:b/>
          <w:sz w:val="20"/>
        </w:rPr>
      </w:pPr>
      <w:r>
        <w:rPr>
          <w:rFonts w:ascii="Times New Roman" w:hAnsi="Times New Roman"/>
          <w:b/>
          <w:sz w:val="20"/>
        </w:rPr>
        <w:t xml:space="preserve">Article VII. </w:t>
      </w:r>
      <w:r>
        <w:rPr>
          <w:rFonts w:ascii="Times New Roman" w:hAnsi="Times New Roman"/>
          <w:b/>
          <w:sz w:val="20"/>
          <w:u w:val="single"/>
        </w:rPr>
        <w:t>No Other Rights</w:t>
      </w:r>
      <w:r>
        <w:rPr>
          <w:rFonts w:ascii="Times New Roman" w:hAnsi="Times New Roman"/>
          <w:b/>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Confidential Information is and shall remain the property of the Disclosing Party. By disclosing Confidential Information to the Receiving Party, the Disclosing Party does not grant to the Receiving Party any express or implied rights or license to or under any patents, patent applications, inventions, copyrights, trademarks, trade secrets or other intellectual property rights then or later possessed by the Disclosing Party.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party makes any representation or warranty as to the accuracy or completeness of the Confidential Information it provides 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Nothing in this Agreement shall obligate either party to enter into any further agreement or transaction with the other party. </w:t>
            </w:r>
          </w:p>
        </w:tc>
      </w:tr>
    </w:tbl>
    <w:p>
      <w:pPr>
        <w:pStyle w:val="TextBody"/>
        <w:bidi w:val="0"/>
        <w:spacing w:before="240" w:after="0"/>
        <w:jc w:val="left"/>
        <w:rPr>
          <w:rFonts w:ascii="Times New Roman" w:hAnsi="Times New Roman"/>
          <w:sz w:val="20"/>
        </w:rPr>
      </w:pPr>
      <w:r>
        <w:rPr>
          <w:rFonts w:ascii="Times New Roman" w:hAnsi="Times New Roman"/>
          <w:b/>
          <w:sz w:val="20"/>
        </w:rPr>
        <w:t xml:space="preserve">Article VIII. </w:t>
      </w:r>
      <w:r>
        <w:rPr>
          <w:rFonts w:ascii="Times New Roman" w:hAnsi="Times New Roman"/>
          <w:b/>
          <w:sz w:val="20"/>
          <w:u w:val="single"/>
        </w:rPr>
        <w:t>No Publicity</w:t>
      </w:r>
      <w:r>
        <w:rPr>
          <w:rFonts w:ascii="Times New Roman" w:hAnsi="Times New Roman"/>
          <w:b/>
          <w:sz w:val="20"/>
        </w:rPr>
        <w:t>.</w:t>
      </w:r>
      <w:r>
        <w:rPr>
          <w:rFonts w:ascii="Times New Roman" w:hAnsi="Times New Roman"/>
          <w:sz w:val="20"/>
        </w:rPr>
        <w:t xml:space="preserve"> Neither party shall use the name of the other party or make any oral or written release of any statement, information, advertisement or press release having any reference to a party, whether express or implied, without the express prior written approval of that party; </w:t>
      </w:r>
      <w:r>
        <w:rPr>
          <w:rFonts w:ascii="Times New Roman" w:hAnsi="Times New Roman"/>
          <w:sz w:val="20"/>
          <w:u w:val="single"/>
        </w:rPr>
        <w:t>except</w:t>
      </w:r>
      <w:r>
        <w:rPr>
          <w:rFonts w:ascii="Times New Roman" w:hAnsi="Times New Roman"/>
          <w:sz w:val="20"/>
        </w:rPr>
        <w:t xml:space="preserve"> where required by law. </w:t>
      </w:r>
    </w:p>
    <w:p>
      <w:pPr>
        <w:pStyle w:val="TextBody"/>
        <w:bidi w:val="0"/>
        <w:spacing w:before="240" w:after="0"/>
        <w:jc w:val="left"/>
        <w:rPr>
          <w:rFonts w:ascii="Times New Roman" w:hAnsi="Times New Roman"/>
          <w:b/>
          <w:sz w:val="20"/>
        </w:rPr>
      </w:pPr>
      <w:r>
        <w:rPr>
          <w:rFonts w:ascii="Times New Roman" w:hAnsi="Times New Roman"/>
          <w:b/>
          <w:sz w:val="20"/>
        </w:rPr>
        <w:t xml:space="preserve">Article IX. </w:t>
      </w:r>
      <w:r>
        <w:rPr>
          <w:rFonts w:ascii="Times New Roman" w:hAnsi="Times New Roman"/>
          <w:b/>
          <w:sz w:val="20"/>
          <w:u w:val="single"/>
        </w:rPr>
        <w:t>Miscellaneous</w:t>
      </w:r>
      <w:r>
        <w:rPr>
          <w:rFonts w:ascii="Times New Roman" w:hAnsi="Times New Roman"/>
          <w:b/>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and obligations of this Agreement may not be assigned or delegated by either party, in whole or part, whether voluntarily, by operation of law, change of control or otherwise, without the prior written consent of the other party, and any assignment by a party in violation of the foregoing shall be void. Subject to the foregoing, the rights and obligations of the parties shall inure to the benefit of and shall be binding upon and enforceable by the parties and their lawful successors and permitted assigns.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Receiving Party shall be responsible for any breach of this Agreement by the Receiving Party or its Representatives.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Agreement, when executed, constitutes the entire agreement between the parties with respect to the subject matter hereof and supersedes any and all prior written agreements, oral discussions, or understandings between them with respect to the Purpose.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of the provisions of this Agreement are found to be invalid or unenforceable, such invalidity or unenforceability shall not invalidate or render unenforceable the remainder of the Agreement, but rather this Agreement shall be construed as if it did not contain the particular invalid or unenforceable provisions, and the rights and obligations of the parties shall be construed and enforced accordingly.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(e)</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amendments of this Agreement or waiver of any of its terms shall be effective unless agreed in writing by both parties. No waiver of any provision of this Agreement shall constitute a waiver of any other provision(s) or of the same provision on another occasion.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(f)</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Agreement shall be governed by and construed in accordance with the laws of the State of Indiana, without regard to its conflict of laws provisions. The Federal courts located in Indianapolis, Indiana shall have exclusive jurisdiction over, and shall be the exclusive venue for resolution of, any dispute, claim or controversy of any nature arising out of or relating to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(g)</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Agreement may be executed in multiple counterparts, each of which shall be deemed an original, but all of which together shall constitute one and the same Agreement. Scanned, electronic and facsimile signatures will be as binding as original signatures. </w:t>
            </w:r>
          </w:p>
        </w:tc>
      </w:tr>
    </w:tbl>
    <w:p>
      <w:pPr>
        <w:pStyle w:val="TextBody"/>
        <w:bidi w:val="0"/>
        <w:spacing w:before="360" w:after="0"/>
        <w:jc w:val="left"/>
        <w:rPr>
          <w:rFonts w:ascii="Times New Roman" w:hAnsi="Times New Roman"/>
          <w:sz w:val="20"/>
        </w:rPr>
      </w:pPr>
      <w:r>
        <w:rPr>
          <w:rFonts w:ascii="Times New Roman" w:hAnsi="Times New Roman"/>
          <w:sz w:val="20"/>
        </w:rPr>
        <w:t xml:space="preserve">SIGNATURE PAGE FOLLOWS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797"/>
        <w:gridCol w:w="101"/>
        <w:gridCol w:w="408"/>
        <w:gridCol w:w="101"/>
        <w:gridCol w:w="4798"/>
      </w:tblGrid>
      <w:tr>
        <w:trPr/>
        <w:tc>
          <w:tcPr>
            <w:tcW w:w="479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4797" w:type="dxa"/>
            <w:tcBorders/>
          </w:tcPr>
          <w:p>
            <w:pPr>
              <w:pStyle w:val="TableContents"/>
              <w:bidi w:val="0"/>
              <w:spacing w:before="0" w:after="283"/>
              <w:jc w:val="left"/>
              <w:rPr>
                <w:b/>
              </w:rPr>
            </w:pPr>
            <w:r>
              <w:rPr>
                <w:b/>
              </w:rPr>
              <w:t>Eli Lilly and Company and its Affiliates</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b/>
              </w:rPr>
            </w:pPr>
            <w:r>
              <w:rPr>
                <w:b/>
              </w:rPr>
              <w:t>Adverum Biotechnologies, Inc.</w:t>
            </w:r>
          </w:p>
        </w:tc>
      </w:tr>
      <w:tr>
        <w:trPr>
          <w:trHeight w:val="240" w:hRule="atLeast"/>
        </w:trPr>
        <w:tc>
          <w:tcPr>
            <w:tcW w:w="4797"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4899" w:type="dxa"/>
            <w:gridSpan w:val="2"/>
            <w:tcBorders/>
            <w:vAlign w:val="center"/>
          </w:tcPr>
          <w:p>
            <w:pPr>
              <w:pStyle w:val="TableContents"/>
              <w:bidi w:val="0"/>
              <w:spacing w:before="0" w:after="283"/>
              <w:jc w:val="left"/>
              <w:rPr>
                <w:sz w:val="4"/>
                <w:szCs w:val="4"/>
              </w:rPr>
            </w:pPr>
            <w:r>
              <w:rPr>
                <w:sz w:val="4"/>
                <w:szCs w:val="4"/>
              </w:rPr>
            </w:r>
          </w:p>
        </w:tc>
      </w:tr>
      <w:tr>
        <w:trPr/>
        <w:tc>
          <w:tcPr>
            <w:tcW w:w="479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Alessandro Placidi</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9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John Rakow</w:t>
            </w:r>
          </w:p>
        </w:tc>
      </w:tr>
      <w:tr>
        <w:trPr/>
        <w:tc>
          <w:tcPr>
            <w:tcW w:w="4797" w:type="dxa"/>
            <w:tcBorders/>
          </w:tcPr>
          <w:p>
            <w:pPr>
              <w:pStyle w:val="TableContents"/>
              <w:bidi w:val="0"/>
              <w:spacing w:before="0" w:after="283"/>
              <w:jc w:val="left"/>
              <w:rPr>
                <w:b/>
              </w:rPr>
            </w:pPr>
            <w:r>
              <w:rPr>
                <w:b/>
              </w:rPr>
              <w:t>Authorized Representative</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b/>
              </w:rPr>
            </w:pPr>
            <w:r>
              <w:rPr>
                <w:b/>
              </w:rPr>
              <w:t>Authorized Signature</w:t>
            </w:r>
          </w:p>
        </w:tc>
      </w:tr>
      <w:tr>
        <w:trPr/>
        <w:tc>
          <w:tcPr>
            <w:tcW w:w="4797" w:type="dxa"/>
            <w:tcBorders/>
          </w:tcPr>
          <w:p>
            <w:pPr>
              <w:pStyle w:val="TableContents"/>
              <w:bidi w:val="0"/>
              <w:spacing w:before="0" w:after="283"/>
              <w:jc w:val="left"/>
              <w:rPr/>
            </w:pPr>
            <w:r>
              <w:rPr>
                <w:b/>
              </w:rPr>
              <w:t xml:space="preserve">Name: </w:t>
            </w:r>
            <w:r>
              <w:rPr/>
              <w:t>Alessandro Placidi</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b/>
              </w:rPr>
              <w:t xml:space="preserve">Name: </w:t>
            </w:r>
            <w:r>
              <w:rPr/>
              <w:t>John Rakow</w:t>
            </w:r>
          </w:p>
        </w:tc>
      </w:tr>
      <w:tr>
        <w:trPr/>
        <w:tc>
          <w:tcPr>
            <w:tcW w:w="4797" w:type="dxa"/>
            <w:tcBorders/>
          </w:tcPr>
          <w:p>
            <w:pPr>
              <w:pStyle w:val="TableContents"/>
              <w:bidi w:val="0"/>
              <w:spacing w:before="0" w:after="283"/>
              <w:jc w:val="left"/>
              <w:rPr/>
            </w:pPr>
            <w:r>
              <w:rPr>
                <w:b/>
              </w:rPr>
              <w:t xml:space="preserve">Title: </w:t>
            </w:r>
            <w:r>
              <w:rPr/>
              <w:t>Sr. Manager, R&amp;D Operations</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b/>
              </w:rPr>
              <w:t xml:space="preserve">Title: </w:t>
            </w:r>
            <w:r>
              <w:rPr/>
              <w:t>General Counsel</w:t>
            </w:r>
          </w:p>
        </w:tc>
      </w:tr>
      <w:tr>
        <w:trPr/>
        <w:tc>
          <w:tcPr>
            <w:tcW w:w="4797" w:type="dxa"/>
            <w:tcBorders/>
          </w:tcPr>
          <w:p>
            <w:pPr>
              <w:pStyle w:val="TableContents"/>
              <w:bidi w:val="0"/>
              <w:spacing w:before="0" w:after="283"/>
              <w:jc w:val="left"/>
              <w:rPr/>
            </w:pPr>
            <w:r>
              <w:rPr>
                <w:b/>
              </w:rPr>
              <w:t xml:space="preserve">Date: </w:t>
            </w:r>
            <w:r>
              <w:rPr/>
              <w:t>11/4/2024</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b/>
              </w:rPr>
              <w:t xml:space="preserve">Date: </w:t>
            </w:r>
            <w:r>
              <w:rPr/>
              <w:t>11/4/2024</w:t>
            </w:r>
          </w:p>
        </w:tc>
      </w:tr>
    </w:tbl>
    <w:p>
      <w:pPr>
        <w:pStyle w:val="TextBody"/>
        <w:bidi w:val="0"/>
        <w:spacing w:before="0" w:after="0"/>
        <w:jc w:val="right"/>
        <w:rPr>
          <w:rFonts w:ascii="Times New Roman" w:hAnsi="Times New Roman"/>
          <w:b/>
          <w:sz w:val="20"/>
        </w:rPr>
      </w:pPr>
      <w:bookmarkStart w:id="37" w:name="d67752dex99d5.htm"/>
      <w:bookmarkStart w:id="38" w:name="ksd67752dex99d5"/>
      <w:bookmarkEnd w:id="37"/>
      <w:bookmarkEnd w:id="38"/>
      <w:r>
        <w:rPr>
          <w:rFonts w:ascii="Times New Roman" w:hAnsi="Times New Roman"/>
          <w:b/>
          <w:sz w:val="20"/>
        </w:rPr>
        <w:t xml:space="preserve">Exhibit (d)(5) </w:t>
      </w:r>
      <w:r>
        <w:br w:type="page"/>
      </w:r>
    </w:p>
    <w:p>
      <w:pPr>
        <w:pStyle w:val="TextBody"/>
        <w:bidi w:val="0"/>
        <w:spacing w:before="480" w:after="0"/>
        <w:jc w:val="center"/>
        <w:rPr>
          <w:rFonts w:ascii="Times New Roman" w:hAnsi="Times New Roman"/>
          <w:b/>
          <w:i/>
          <w:sz w:val="20"/>
        </w:rPr>
      </w:pPr>
      <w:r>
        <w:rPr>
          <w:rFonts w:ascii="Times New Roman" w:hAnsi="Times New Roman"/>
          <w:b/>
          <w:i/>
          <w:sz w:val="20"/>
        </w:rPr>
        <w:t xml:space="preserve">FIRST AMENDMENT TO CONFIDENTIALITY AGREEMENT </w:t>
      </w:r>
    </w:p>
    <w:p>
      <w:pPr>
        <w:pStyle w:val="TextBody"/>
        <w:bidi w:val="0"/>
        <w:spacing w:before="240" w:after="0"/>
        <w:jc w:val="left"/>
        <w:rPr>
          <w:rFonts w:ascii="Times New Roman" w:hAnsi="Times New Roman"/>
          <w:sz w:val="20"/>
        </w:rPr>
      </w:pPr>
      <w:r>
        <w:rPr>
          <w:rFonts w:ascii="Times New Roman" w:hAnsi="Times New Roman"/>
          <w:sz w:val="20"/>
        </w:rPr>
        <w:t>This First Amendment to the Confidentiality Agreement (this “</w:t>
      </w:r>
      <w:r>
        <w:rPr>
          <w:rFonts w:ascii="Times New Roman" w:hAnsi="Times New Roman"/>
          <w:b/>
          <w:i/>
          <w:sz w:val="20"/>
        </w:rPr>
        <w:t>Amendment</w:t>
      </w:r>
      <w:r>
        <w:rPr>
          <w:rFonts w:ascii="Times New Roman" w:hAnsi="Times New Roman"/>
          <w:sz w:val="20"/>
        </w:rPr>
        <w:t>”) is entered into and made effective as of November 4, 2025 (the “</w:t>
      </w:r>
      <w:r>
        <w:rPr>
          <w:rFonts w:ascii="Times New Roman" w:hAnsi="Times New Roman"/>
          <w:b/>
          <w:i/>
          <w:sz w:val="20"/>
        </w:rPr>
        <w:t>Effective Date</w:t>
      </w:r>
      <w:r>
        <w:rPr>
          <w:rFonts w:ascii="Times New Roman" w:hAnsi="Times New Roman"/>
          <w:sz w:val="20"/>
        </w:rPr>
        <w:t>”) by and between Eli Lilly and Company and its Affiliates, having its principal place of business at Lilly Corporate Center, Indianapolis, Indiana 46285, United States (“</w:t>
      </w:r>
      <w:r>
        <w:rPr>
          <w:rFonts w:ascii="Times New Roman" w:hAnsi="Times New Roman"/>
          <w:b/>
          <w:i/>
          <w:sz w:val="20"/>
        </w:rPr>
        <w:t>Lilly</w:t>
      </w:r>
      <w:r>
        <w:rPr>
          <w:rFonts w:ascii="Times New Roman" w:hAnsi="Times New Roman"/>
          <w:sz w:val="20"/>
        </w:rPr>
        <w:t>”), and Adverum Biotechnologies, Inc., having its principal place of business at 100 Cardinal Way, Redwood City, California 94063, United States (“</w:t>
      </w:r>
      <w:r>
        <w:rPr>
          <w:rFonts w:ascii="Times New Roman" w:hAnsi="Times New Roman"/>
          <w:b/>
          <w:i/>
          <w:sz w:val="20"/>
        </w:rPr>
        <w:t>Adverum</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b/>
          <w:sz w:val="20"/>
        </w:rPr>
        <w:t xml:space="preserve">WHEREAS, </w:t>
      </w:r>
      <w:r>
        <w:rPr>
          <w:rFonts w:ascii="Times New Roman" w:hAnsi="Times New Roman"/>
          <w:sz w:val="20"/>
        </w:rPr>
        <w:t>Adverum and Lilly are parties to that certain Confidentiality Agreement dated November 4, 2024 (the “</w:t>
      </w:r>
      <w:r>
        <w:rPr>
          <w:rFonts w:ascii="Times New Roman" w:hAnsi="Times New Roman"/>
          <w:b/>
          <w:i/>
          <w:sz w:val="20"/>
        </w:rPr>
        <w:t>Agreement</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b/>
          <w:sz w:val="20"/>
        </w:rPr>
        <w:t xml:space="preserve">WHEREAS, </w:t>
      </w:r>
      <w:r>
        <w:rPr>
          <w:rFonts w:ascii="Times New Roman" w:hAnsi="Times New Roman"/>
          <w:sz w:val="20"/>
        </w:rPr>
        <w:t xml:space="preserve">Adverum and Lilly desire to amend the Agreement in accordance with the terms hereof. </w:t>
      </w:r>
    </w:p>
    <w:p>
      <w:pPr>
        <w:pStyle w:val="TextBody"/>
        <w:bidi w:val="0"/>
        <w:spacing w:before="240" w:after="0"/>
        <w:jc w:val="left"/>
        <w:rPr>
          <w:rFonts w:ascii="Times New Roman" w:hAnsi="Times New Roman"/>
          <w:sz w:val="20"/>
        </w:rPr>
      </w:pPr>
      <w:r>
        <w:rPr>
          <w:rFonts w:ascii="Times New Roman" w:hAnsi="Times New Roman"/>
          <w:b/>
          <w:sz w:val="20"/>
        </w:rPr>
        <w:t xml:space="preserve">NOW, THEREFORE, </w:t>
      </w:r>
      <w:r>
        <w:rPr>
          <w:rFonts w:ascii="Times New Roman" w:hAnsi="Times New Roman"/>
          <w:sz w:val="20"/>
        </w:rPr>
        <w:t xml:space="preserve">Adverum and Lilly agree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Amendment to Term. </w:t>
            </w:r>
            <w:r>
              <w:rPr>
                <w:rFonts w:ascii="Times New Roman" w:hAnsi="Times New Roman"/>
                <w:sz w:val="20"/>
              </w:rPr>
              <w:t xml:space="preserve">Article VI (Term) of the Agreement is hereby amended and restated in its entirety to read as follows: </w:t>
            </w:r>
          </w:p>
        </w:tc>
      </w:tr>
    </w:tbl>
    <w:p>
      <w:pPr>
        <w:pStyle w:val="TextBody"/>
        <w:bidi w:val="0"/>
        <w:spacing w:before="120" w:after="0"/>
        <w:jc w:val="left"/>
        <w:rPr/>
      </w:pPr>
      <w:r>
        <w:rPr/>
        <w:t>“</w:t>
      </w:r>
      <w:r>
        <w:rPr>
          <w:rFonts w:ascii="Times New Roman" w:hAnsi="Times New Roman"/>
          <w:sz w:val="20"/>
        </w:rPr>
        <w:t xml:space="preserve">The term of this Agreement will expire on December 31, 2025 and the obligations of confidentiality and non-use shall apply to Confidential Information for the earlier of 5 years after the term expires or when such Confidential Information no longer qualifies as Confidential Information. Either party may terminate this Agreement for any reason upon 30 days’ prior written notice to the counterparty, but any such early termination will have no effect on the parties continuing obligations of confidentiality and non-use.”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Defined Terms. </w:t>
            </w:r>
            <w:r>
              <w:rPr>
                <w:rFonts w:ascii="Times New Roman" w:hAnsi="Times New Roman"/>
                <w:sz w:val="20"/>
              </w:rPr>
              <w:t xml:space="preserve">Any capitalized terms not defined in this Amendment shall have the meaning set forth in the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No Other Amendments. </w:t>
            </w:r>
            <w:r>
              <w:rPr>
                <w:rFonts w:ascii="Times New Roman" w:hAnsi="Times New Roman"/>
                <w:sz w:val="20"/>
              </w:rPr>
              <w:t xml:space="preserve">Except as expressly amended by this Amendment, all terms and conditions of the Agreement remain unchanged and in full force and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Miscellaneous. </w:t>
            </w:r>
            <w:r>
              <w:rPr>
                <w:rFonts w:ascii="Times New Roman" w:hAnsi="Times New Roman"/>
                <w:sz w:val="20"/>
              </w:rPr>
              <w:t xml:space="preserve">This Amendment shall be governed by and construed in accordance with the laws specified in the Agreement. This Amendment may be executed in counterparts, each of which shall be deemed an original and all of which together shall constitute one and the same instrument. Scanned, electronic, and facsimile signatures shall be deemed original signatures. </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ELI LILLY AND COMPANY AND ITS AFFILIATES</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Alessandro Placidi</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Alessandro Placidi</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Sr. Manager R&amp;D Operations</w:t>
            </w:r>
          </w:p>
        </w:tc>
      </w:tr>
      <w:tr>
        <w:trPr/>
        <w:tc>
          <w:tcPr>
            <w:tcW w:w="669" w:type="dxa"/>
            <w:tcBorders/>
          </w:tcPr>
          <w:p>
            <w:pPr>
              <w:pStyle w:val="TableContents"/>
              <w:bidi w:val="0"/>
              <w:spacing w:before="0" w:after="283"/>
              <w:jc w:val="left"/>
              <w:rPr/>
            </w:pPr>
            <w:r>
              <w:rPr/>
              <w:t>Date: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06-Nov-2025</w:t>
            </w:r>
          </w:p>
        </w:tc>
      </w:tr>
    </w:tbl>
    <w:p>
      <w:pPr>
        <w:pStyle w:val="TextBody"/>
        <w:bidi w:val="0"/>
        <w:spacing w:before="360" w:after="0"/>
        <w:jc w:val="center"/>
        <w:rPr>
          <w:rFonts w:ascii="Times New Roman" w:hAnsi="Times New Roman"/>
          <w:i/>
          <w:sz w:val="20"/>
        </w:rPr>
      </w:pPr>
      <w:r>
        <w:rPr>
          <w:rFonts w:ascii="Times New Roman" w:hAnsi="Times New Roman"/>
          <w:i/>
          <w:sz w:val="20"/>
        </w:rPr>
        <w:t xml:space="preserve">[Signature Page to First Amendment to Confidentiality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985"/>
        <w:gridCol w:w="95"/>
        <w:gridCol w:w="3002"/>
      </w:tblGrid>
      <w:tr>
        <w:trPr/>
        <w:tc>
          <w:tcPr>
            <w:tcW w:w="985"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300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ADVERUM BIOTECHNOLOGIES, INC.</w:t>
            </w:r>
          </w:p>
        </w:tc>
      </w:tr>
      <w:tr>
        <w:trPr>
          <w:trHeight w:val="240" w:hRule="atLeast"/>
        </w:trPr>
        <w:tc>
          <w:tcPr>
            <w:tcW w:w="985" w:type="dxa"/>
            <w:tcBorders/>
            <w:vAlign w:val="center"/>
          </w:tcPr>
          <w:p>
            <w:pPr>
              <w:pStyle w:val="TableContents"/>
              <w:bidi w:val="0"/>
              <w:spacing w:before="0" w:after="283"/>
              <w:jc w:val="left"/>
              <w:rPr>
                <w:sz w:val="4"/>
                <w:szCs w:val="4"/>
              </w:rPr>
            </w:pPr>
            <w:r>
              <w:rPr>
                <w:sz w:val="4"/>
                <w:szCs w:val="4"/>
              </w:rPr>
            </w:r>
          </w:p>
        </w:tc>
        <w:tc>
          <w:tcPr>
            <w:tcW w:w="3097" w:type="dxa"/>
            <w:gridSpan w:val="2"/>
            <w:tcBorders/>
            <w:vAlign w:val="center"/>
          </w:tcPr>
          <w:p>
            <w:pPr>
              <w:pStyle w:val="TableContents"/>
              <w:bidi w:val="0"/>
              <w:spacing w:before="0" w:after="283"/>
              <w:jc w:val="left"/>
              <w:rPr>
                <w:sz w:val="4"/>
                <w:szCs w:val="4"/>
              </w:rPr>
            </w:pPr>
            <w:r>
              <w:rPr>
                <w:sz w:val="4"/>
                <w:szCs w:val="4"/>
              </w:rPr>
            </w:r>
          </w:p>
        </w:tc>
      </w:tr>
      <w:tr>
        <w:trPr/>
        <w:tc>
          <w:tcPr>
            <w:tcW w:w="985" w:type="dxa"/>
            <w:tcBorders/>
          </w:tcPr>
          <w:p>
            <w:pPr>
              <w:pStyle w:val="TableContents"/>
              <w:bidi w:val="0"/>
              <w:spacing w:before="0" w:after="283"/>
              <w:jc w:val="left"/>
              <w:rPr/>
            </w:pPr>
            <w:r>
              <w:rPr/>
              <w:t>By:</w:t>
            </w:r>
          </w:p>
        </w:tc>
        <w:tc>
          <w:tcPr>
            <w:tcW w:w="95" w:type="dxa"/>
            <w:tcBorders/>
            <w:vAlign w:val="bottom"/>
          </w:tcPr>
          <w:p>
            <w:pPr>
              <w:pStyle w:val="TableContents"/>
              <w:bidi w:val="0"/>
              <w:spacing w:before="0" w:after="283"/>
              <w:jc w:val="left"/>
              <w:rPr/>
            </w:pPr>
            <w:r>
              <w:rPr/>
              <w:t> </w:t>
            </w:r>
          </w:p>
        </w:tc>
        <w:tc>
          <w:tcPr>
            <w:tcW w:w="300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Aneta Ferguson</w:t>
            </w:r>
          </w:p>
        </w:tc>
      </w:tr>
      <w:tr>
        <w:trPr/>
        <w:tc>
          <w:tcPr>
            <w:tcW w:w="985" w:type="dxa"/>
            <w:tcBorders/>
          </w:tcPr>
          <w:p>
            <w:pPr>
              <w:pStyle w:val="TableContents"/>
              <w:bidi w:val="0"/>
              <w:spacing w:before="0" w:after="283"/>
              <w:jc w:val="left"/>
              <w:rPr/>
            </w:pPr>
            <w:r>
              <w:rPr/>
              <w:t>Name:</w:t>
            </w:r>
          </w:p>
        </w:tc>
        <w:tc>
          <w:tcPr>
            <w:tcW w:w="95" w:type="dxa"/>
            <w:tcBorders/>
            <w:vAlign w:val="bottom"/>
          </w:tcPr>
          <w:p>
            <w:pPr>
              <w:pStyle w:val="TableContents"/>
              <w:bidi w:val="0"/>
              <w:spacing w:before="0" w:after="283"/>
              <w:jc w:val="left"/>
              <w:rPr/>
            </w:pPr>
            <w:r>
              <w:rPr/>
              <w:t> </w:t>
            </w:r>
          </w:p>
        </w:tc>
        <w:tc>
          <w:tcPr>
            <w:tcW w:w="3002" w:type="dxa"/>
            <w:tcBorders/>
          </w:tcPr>
          <w:p>
            <w:pPr>
              <w:pStyle w:val="TableContents"/>
              <w:bidi w:val="0"/>
              <w:spacing w:before="0" w:after="283"/>
              <w:jc w:val="left"/>
              <w:rPr/>
            </w:pPr>
            <w:r>
              <w:rPr/>
              <w:t>Aneta Ferguson</w:t>
            </w:r>
          </w:p>
        </w:tc>
      </w:tr>
      <w:tr>
        <w:trPr/>
        <w:tc>
          <w:tcPr>
            <w:tcW w:w="985" w:type="dxa"/>
            <w:tcBorders/>
          </w:tcPr>
          <w:p>
            <w:pPr>
              <w:pStyle w:val="TableContents"/>
              <w:bidi w:val="0"/>
              <w:spacing w:before="0" w:after="283"/>
              <w:jc w:val="left"/>
              <w:rPr/>
            </w:pPr>
            <w:r>
              <w:rPr/>
              <w:t>Title:</w:t>
            </w:r>
          </w:p>
        </w:tc>
        <w:tc>
          <w:tcPr>
            <w:tcW w:w="95" w:type="dxa"/>
            <w:tcBorders/>
            <w:vAlign w:val="bottom"/>
          </w:tcPr>
          <w:p>
            <w:pPr>
              <w:pStyle w:val="TableContents"/>
              <w:bidi w:val="0"/>
              <w:spacing w:before="0" w:after="283"/>
              <w:jc w:val="left"/>
              <w:rPr/>
            </w:pPr>
            <w:r>
              <w:rPr/>
              <w:t> </w:t>
            </w:r>
          </w:p>
        </w:tc>
        <w:tc>
          <w:tcPr>
            <w:tcW w:w="3002" w:type="dxa"/>
            <w:tcBorders/>
          </w:tcPr>
          <w:p>
            <w:pPr>
              <w:pStyle w:val="TableContents"/>
              <w:bidi w:val="0"/>
              <w:spacing w:before="0" w:after="283"/>
              <w:jc w:val="left"/>
              <w:rPr/>
            </w:pPr>
            <w:r>
              <w:rPr/>
              <w:t>General Counsel</w:t>
            </w:r>
          </w:p>
        </w:tc>
      </w:tr>
      <w:tr>
        <w:trPr/>
        <w:tc>
          <w:tcPr>
            <w:tcW w:w="985" w:type="dxa"/>
            <w:tcBorders/>
          </w:tcPr>
          <w:p>
            <w:pPr>
              <w:pStyle w:val="TableContents"/>
              <w:bidi w:val="0"/>
              <w:spacing w:before="0" w:after="283"/>
              <w:jc w:val="left"/>
              <w:rPr/>
            </w:pPr>
            <w:r>
              <w:rPr/>
              <w:t>Date:</w:t>
            </w:r>
          </w:p>
        </w:tc>
        <w:tc>
          <w:tcPr>
            <w:tcW w:w="95" w:type="dxa"/>
            <w:tcBorders/>
            <w:vAlign w:val="bottom"/>
          </w:tcPr>
          <w:p>
            <w:pPr>
              <w:pStyle w:val="TableContents"/>
              <w:bidi w:val="0"/>
              <w:spacing w:before="0" w:after="283"/>
              <w:jc w:val="left"/>
              <w:rPr/>
            </w:pPr>
            <w:r>
              <w:rPr/>
              <w:t> </w:t>
            </w:r>
          </w:p>
        </w:tc>
        <w:tc>
          <w:tcPr>
            <w:tcW w:w="3002" w:type="dxa"/>
            <w:tcBorders/>
          </w:tcPr>
          <w:p>
            <w:pPr>
              <w:pStyle w:val="TableContents"/>
              <w:bidi w:val="0"/>
              <w:spacing w:before="0" w:after="283"/>
              <w:jc w:val="left"/>
              <w:rPr/>
            </w:pPr>
            <w:r>
              <w:rPr/>
              <w:t>06-Nov-2025</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First Amendment to Confidentiality Agreement] </w:t>
      </w:r>
    </w:p>
    <w:p>
      <w:pPr>
        <w:pStyle w:val="Normal"/>
        <w:bidi w:val="0"/>
        <w:spacing w:before="0" w:after="0"/>
        <w:jc w:val="left"/>
        <w:rPr>
          <w:sz w:val="4"/>
          <w:szCs w:val="4"/>
        </w:rPr>
      </w:pPr>
      <w:r>
        <w:rPr>
          <w:sz w:val="4"/>
          <w:szCs w:val="4"/>
        </w:rPr>
      </w:r>
      <w:bookmarkStart w:id="39" w:name="d67752dexfilingfees.htm"/>
      <w:bookmarkStart w:id="40" w:name="ksd67752dexfilingfees"/>
      <w:bookmarkStart w:id="41" w:name="d67752dexfilingfees.htm"/>
      <w:bookmarkStart w:id="42" w:name="ksd67752dexfilingfees"/>
      <w:bookmarkEnd w:id="41"/>
      <w:bookmarkEnd w:id="42"/>
      <w:r>
        <w:br w:type="page"/>
      </w:r>
    </w:p>
    <w:tbl>
      <w:tblPr>
        <w:tblW w:w="3451" w:type="dxa"/>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r>
              <w:rPr>
                <w:b/>
              </w:rPr>
              <w:t>Calculation of Filing Fee Tables</w:t>
            </w:r>
            <w:r>
              <w:rPr/>
              <w:t xml:space="preserve"> </w:t>
            </w:r>
          </w:p>
        </w:tc>
      </w:tr>
    </w:tbl>
    <w:tbl>
      <w:tblPr>
        <w:tblW w:w="3421" w:type="dxa"/>
        <w:jc w:val="left"/>
        <w:tblInd w:w="0" w:type="dxa"/>
        <w:tblLayout w:type="fixed"/>
        <w:tblCellMar>
          <w:top w:w="28" w:type="dxa"/>
          <w:left w:w="28" w:type="dxa"/>
          <w:bottom w:w="28" w:type="dxa"/>
          <w:right w:w="28" w:type="dxa"/>
        </w:tblCellMar>
      </w:tblPr>
      <w:tblGrid>
        <w:gridCol w:w="3421"/>
      </w:tblGrid>
      <w:tr>
        <w:trPr/>
        <w:tc>
          <w:tcPr>
            <w:tcW w:w="3421" w:type="dxa"/>
            <w:tcBorders/>
            <w:vAlign w:val="center"/>
          </w:tcPr>
          <w:p>
            <w:pPr>
              <w:pStyle w:val="TableHeading"/>
              <w:bidi w:val="0"/>
              <w:spacing w:before="0" w:after="0"/>
              <w:ind w:left="0" w:right="0" w:hanging="0"/>
              <w:jc w:val="center"/>
              <w:rPr/>
            </w:pPr>
            <w:r>
              <w:rPr>
                <w:b/>
              </w:rPr>
              <w:t xml:space="preserve">Table 1: </w:t>
            </w:r>
            <w:r>
              <w:rPr>
                <w:b/>
                <w:u w:val="single"/>
              </w:rPr>
              <w:t>Transaction Valuation</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976"/>
        <w:gridCol w:w="2534"/>
        <w:gridCol w:w="2340"/>
        <w:gridCol w:w="1175"/>
        <w:gridCol w:w="2180"/>
      </w:tblGrid>
      <w:tr>
        <w:trPr/>
        <w:tc>
          <w:tcPr>
            <w:tcW w:w="1976" w:type="dxa"/>
            <w:tcBorders/>
            <w:shd w:fill="9ADAF6" w:val="clear"/>
            <w:vAlign w:val="center"/>
          </w:tcPr>
          <w:p>
            <w:pPr>
              <w:pStyle w:val="TableHeading"/>
              <w:bidi w:val="0"/>
              <w:spacing w:before="0" w:after="283"/>
              <w:rPr>
                <w:sz w:val="4"/>
                <w:szCs w:val="4"/>
              </w:rPr>
            </w:pPr>
            <w:r>
              <w:rPr>
                <w:sz w:val="4"/>
                <w:szCs w:val="4"/>
              </w:rPr>
            </w:r>
          </w:p>
        </w:tc>
        <w:tc>
          <w:tcPr>
            <w:tcW w:w="2534" w:type="dxa"/>
            <w:tcBorders/>
            <w:shd w:fill="9ADAF6" w:val="clear"/>
            <w:vAlign w:val="center"/>
          </w:tcPr>
          <w:p>
            <w:pPr>
              <w:pStyle w:val="TableHeading"/>
              <w:bidi w:val="0"/>
              <w:spacing w:before="0" w:after="283"/>
              <w:rPr>
                <w:sz w:val="4"/>
                <w:szCs w:val="4"/>
              </w:rPr>
            </w:pPr>
            <w:r>
              <w:rPr>
                <w:sz w:val="4"/>
                <w:szCs w:val="4"/>
              </w:rPr>
            </w:r>
          </w:p>
        </w:tc>
        <w:tc>
          <w:tcPr>
            <w:tcW w:w="2340" w:type="dxa"/>
            <w:tcBorders/>
            <w:shd w:fill="9ADAF6" w:val="clear"/>
            <w:vAlign w:val="center"/>
          </w:tcPr>
          <w:p>
            <w:pPr>
              <w:pStyle w:val="TableHeading"/>
              <w:bidi w:val="0"/>
              <w:spacing w:before="0" w:after="0"/>
              <w:ind w:left="0" w:right="0" w:hanging="0"/>
              <w:jc w:val="center"/>
              <w:rPr/>
            </w:pPr>
            <w:r>
              <w:rPr>
                <w:b/>
              </w:rPr>
              <w:t>Transaction Valuation</w:t>
            </w:r>
            <w:r>
              <w:rPr/>
              <w:t xml:space="preserve"> </w:t>
            </w:r>
          </w:p>
        </w:tc>
        <w:tc>
          <w:tcPr>
            <w:tcW w:w="1175"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2180" w:type="dxa"/>
            <w:tcBorders/>
            <w:shd w:fill="9ADAF6" w:val="clear"/>
            <w:vAlign w:val="center"/>
          </w:tcPr>
          <w:p>
            <w:pPr>
              <w:pStyle w:val="TableHeading"/>
              <w:bidi w:val="0"/>
              <w:spacing w:before="0" w:after="0"/>
              <w:ind w:left="0" w:right="0" w:hanging="0"/>
              <w:jc w:val="center"/>
              <w:rPr/>
            </w:pPr>
            <w:r>
              <w:rPr>
                <w:b/>
              </w:rPr>
              <w:t>Amount of Filing Fee</w:t>
            </w:r>
            <w:r>
              <w:rPr/>
              <w:t xml:space="preserve"> </w:t>
            </w:r>
          </w:p>
        </w:tc>
      </w:tr>
      <w:tr>
        <w:trPr/>
        <w:tc>
          <w:tcPr>
            <w:tcW w:w="1976" w:type="dxa"/>
            <w:tcBorders/>
            <w:shd w:fill="E7E7E2" w:val="clear"/>
            <w:vAlign w:val="center"/>
          </w:tcPr>
          <w:p>
            <w:pPr>
              <w:pStyle w:val="TableContents"/>
              <w:bidi w:val="0"/>
              <w:spacing w:before="0" w:after="283"/>
              <w:jc w:val="left"/>
              <w:rPr/>
            </w:pPr>
            <w:r>
              <w:rPr/>
              <w:t xml:space="preserve">Fees to be Paid </w:t>
            </w:r>
          </w:p>
        </w:tc>
        <w:tc>
          <w:tcPr>
            <w:tcW w:w="2534" w:type="dxa"/>
            <w:tcBorders/>
            <w:shd w:fill="E7E7E2" w:val="clear"/>
            <w:vAlign w:val="center"/>
          </w:tcPr>
          <w:p>
            <w:pPr>
              <w:pStyle w:val="TableContents"/>
              <w:bidi w:val="0"/>
              <w:spacing w:before="0" w:after="283"/>
              <w:jc w:val="center"/>
              <w:rPr/>
            </w:pPr>
            <w:r>
              <w:rPr/>
              <w:t xml:space="preserve">1 </w:t>
            </w:r>
          </w:p>
        </w:tc>
        <w:tc>
          <w:tcPr>
            <w:tcW w:w="2340" w:type="dxa"/>
            <w:tcBorders/>
            <w:shd w:fill="E7E7E2" w:val="clear"/>
            <w:vAlign w:val="center"/>
          </w:tcPr>
          <w:p>
            <w:pPr>
              <w:pStyle w:val="TableContents"/>
              <w:bidi w:val="0"/>
              <w:spacing w:before="0" w:after="283"/>
              <w:jc w:val="right"/>
              <w:rPr/>
            </w:pPr>
            <w:r>
              <w:rPr/>
              <w:t xml:space="preserve">$ 120,981,692.56 </w:t>
            </w:r>
          </w:p>
        </w:tc>
        <w:tc>
          <w:tcPr>
            <w:tcW w:w="1175" w:type="dxa"/>
            <w:tcBorders/>
            <w:shd w:fill="E7E7E2" w:val="clear"/>
            <w:vAlign w:val="center"/>
          </w:tcPr>
          <w:p>
            <w:pPr>
              <w:pStyle w:val="TableContents"/>
              <w:bidi w:val="0"/>
              <w:spacing w:before="0" w:after="283"/>
              <w:jc w:val="right"/>
              <w:rPr/>
            </w:pPr>
            <w:r>
              <w:rPr/>
              <w:t xml:space="preserve">0.0001381 </w:t>
            </w:r>
          </w:p>
        </w:tc>
        <w:tc>
          <w:tcPr>
            <w:tcW w:w="2180" w:type="dxa"/>
            <w:tcBorders/>
            <w:shd w:fill="E7E7E2" w:val="clear"/>
            <w:vAlign w:val="center"/>
          </w:tcPr>
          <w:p>
            <w:pPr>
              <w:pStyle w:val="TableContents"/>
              <w:bidi w:val="0"/>
              <w:spacing w:before="0" w:after="283"/>
              <w:jc w:val="right"/>
              <w:rPr/>
            </w:pPr>
            <w:r>
              <w:rPr/>
              <w:t xml:space="preserve">$ 16,707.57 </w:t>
            </w:r>
          </w:p>
        </w:tc>
      </w:tr>
      <w:tr>
        <w:trPr/>
        <w:tc>
          <w:tcPr>
            <w:tcW w:w="1976" w:type="dxa"/>
            <w:tcBorders/>
            <w:shd w:fill="E7E7E2" w:val="clear"/>
            <w:vAlign w:val="center"/>
          </w:tcPr>
          <w:p>
            <w:pPr>
              <w:pStyle w:val="TableContents"/>
              <w:bidi w:val="0"/>
              <w:spacing w:before="0" w:after="283"/>
              <w:jc w:val="left"/>
              <w:rPr/>
            </w:pPr>
            <w:r>
              <w:rPr/>
              <w:t xml:space="preserve">Fees Previously Paid </w:t>
            </w:r>
          </w:p>
        </w:tc>
        <w:tc>
          <w:tcPr>
            <w:tcW w:w="2534" w:type="dxa"/>
            <w:tcBorders/>
            <w:shd w:fill="E7E7E2" w:val="clear"/>
            <w:vAlign w:val="center"/>
          </w:tcPr>
          <w:p>
            <w:pPr>
              <w:pStyle w:val="TableContents"/>
              <w:bidi w:val="0"/>
              <w:spacing w:before="0" w:after="283"/>
              <w:jc w:val="left"/>
              <w:rPr>
                <w:sz w:val="4"/>
                <w:szCs w:val="4"/>
              </w:rPr>
            </w:pPr>
            <w:r>
              <w:rPr>
                <w:sz w:val="4"/>
                <w:szCs w:val="4"/>
              </w:rPr>
            </w:r>
          </w:p>
        </w:tc>
        <w:tc>
          <w:tcPr>
            <w:tcW w:w="2340" w:type="dxa"/>
            <w:tcBorders/>
            <w:shd w:fill="E7E7E2" w:val="clear"/>
            <w:vAlign w:val="center"/>
          </w:tcPr>
          <w:p>
            <w:pPr>
              <w:pStyle w:val="TableContents"/>
              <w:bidi w:val="0"/>
              <w:spacing w:before="0" w:after="283"/>
              <w:jc w:val="left"/>
              <w:rPr>
                <w:sz w:val="4"/>
                <w:szCs w:val="4"/>
              </w:rPr>
            </w:pPr>
            <w:r>
              <w:rPr>
                <w:sz w:val="4"/>
                <w:szCs w:val="4"/>
              </w:rPr>
            </w:r>
          </w:p>
        </w:tc>
        <w:tc>
          <w:tcPr>
            <w:tcW w:w="1175" w:type="dxa"/>
            <w:tcBorders/>
            <w:shd w:fill="E7E7E2" w:val="clear"/>
            <w:vAlign w:val="center"/>
          </w:tcPr>
          <w:p>
            <w:pPr>
              <w:pStyle w:val="TableContents"/>
              <w:bidi w:val="0"/>
              <w:spacing w:before="0" w:after="283"/>
              <w:jc w:val="left"/>
              <w:rPr>
                <w:sz w:val="4"/>
                <w:szCs w:val="4"/>
              </w:rPr>
            </w:pPr>
            <w:r>
              <w:rPr>
                <w:sz w:val="4"/>
                <w:szCs w:val="4"/>
              </w:rPr>
            </w:r>
          </w:p>
        </w:tc>
        <w:tc>
          <w:tcPr>
            <w:tcW w:w="2180" w:type="dxa"/>
            <w:tcBorders/>
            <w:shd w:fill="E7E7E2" w:val="clear"/>
            <w:vAlign w:val="center"/>
          </w:tcPr>
          <w:p>
            <w:pPr>
              <w:pStyle w:val="TableContents"/>
              <w:bidi w:val="0"/>
              <w:spacing w:before="0" w:after="283"/>
              <w:jc w:val="left"/>
              <w:rPr>
                <w:sz w:val="4"/>
                <w:szCs w:val="4"/>
              </w:rPr>
            </w:pPr>
            <w:r>
              <w:rPr>
                <w:sz w:val="4"/>
                <w:szCs w:val="4"/>
              </w:rPr>
            </w:r>
          </w:p>
        </w:tc>
      </w:tr>
      <w:tr>
        <w:trPr/>
        <w:tc>
          <w:tcPr>
            <w:tcW w:w="1976"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0"/>
              <w:ind w:left="0" w:right="0" w:hanging="0"/>
              <w:jc w:val="left"/>
              <w:rPr/>
            </w:pPr>
            <w:r>
              <w:rPr/>
              <w:t>Total Transaction Valuation:</w:t>
            </w:r>
          </w:p>
        </w:tc>
        <w:tc>
          <w:tcPr>
            <w:tcW w:w="2340" w:type="dxa"/>
            <w:tcBorders/>
            <w:vAlign w:val="center"/>
          </w:tcPr>
          <w:p>
            <w:pPr>
              <w:pStyle w:val="TableContents"/>
              <w:bidi w:val="0"/>
              <w:spacing w:before="0" w:after="0"/>
              <w:ind w:left="0" w:right="0" w:hanging="0"/>
              <w:jc w:val="right"/>
              <w:rPr/>
            </w:pPr>
            <w:r>
              <w:rPr/>
              <w:t xml:space="preserve">$ 120,981,692.56 </w:t>
            </w:r>
          </w:p>
        </w:tc>
        <w:tc>
          <w:tcPr>
            <w:tcW w:w="1175"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1976"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0"/>
              <w:ind w:left="0" w:right="0" w:hanging="0"/>
              <w:jc w:val="left"/>
              <w:rPr/>
            </w:pPr>
            <w:r>
              <w:rPr/>
              <w:t>Total Fees Due for Filing:</w:t>
            </w:r>
          </w:p>
        </w:tc>
        <w:tc>
          <w:tcPr>
            <w:tcW w:w="234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180"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43" w:name="TotalFeeAmt"/>
            <w:bookmarkEnd w:id="43"/>
            <w:r>
              <w:rPr/>
              <w:t xml:space="preserve">$ 16,707.57 </w:t>
            </w:r>
          </w:p>
        </w:tc>
      </w:tr>
      <w:tr>
        <w:trPr/>
        <w:tc>
          <w:tcPr>
            <w:tcW w:w="1976"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0"/>
              <w:ind w:left="0" w:right="0" w:hanging="0"/>
              <w:jc w:val="left"/>
              <w:rPr/>
            </w:pPr>
            <w:r>
              <w:rPr/>
              <w:t xml:space="preserve">Total Fees Previously Paid: </w:t>
            </w:r>
          </w:p>
        </w:tc>
        <w:tc>
          <w:tcPr>
            <w:tcW w:w="234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0"/>
              <w:ind w:left="0" w:right="0" w:hanging="0"/>
              <w:jc w:val="right"/>
              <w:rPr/>
            </w:pPr>
            <w:bookmarkStart w:id="44" w:name="TotalPreviouslyPaidAmt"/>
            <w:bookmarkEnd w:id="44"/>
            <w:r>
              <w:rPr/>
              <w:t xml:space="preserve">$ 0.00 </w:t>
            </w:r>
          </w:p>
        </w:tc>
      </w:tr>
      <w:tr>
        <w:trPr/>
        <w:tc>
          <w:tcPr>
            <w:tcW w:w="1976"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0"/>
              <w:ind w:left="0" w:right="0" w:hanging="0"/>
              <w:jc w:val="left"/>
              <w:rPr/>
            </w:pPr>
            <w:r>
              <w:rPr/>
              <w:t xml:space="preserve">Total Fee Offsets: </w:t>
            </w:r>
          </w:p>
        </w:tc>
        <w:tc>
          <w:tcPr>
            <w:tcW w:w="234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0"/>
              <w:ind w:left="0" w:right="0" w:hanging="0"/>
              <w:jc w:val="right"/>
              <w:rPr/>
            </w:pPr>
            <w:bookmarkStart w:id="45" w:name="TotalOffsetAmt"/>
            <w:bookmarkEnd w:id="45"/>
            <w:r>
              <w:rPr/>
              <w:t xml:space="preserve">$ 0.00 </w:t>
            </w:r>
          </w:p>
        </w:tc>
      </w:tr>
      <w:tr>
        <w:trPr/>
        <w:tc>
          <w:tcPr>
            <w:tcW w:w="1976"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0"/>
              <w:ind w:left="0" w:right="0" w:hanging="0"/>
              <w:jc w:val="left"/>
              <w:rPr/>
            </w:pPr>
            <w:r>
              <w:rPr/>
              <w:t xml:space="preserve">Net Fee Due: </w:t>
            </w:r>
          </w:p>
        </w:tc>
        <w:tc>
          <w:tcPr>
            <w:tcW w:w="234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0"/>
              <w:ind w:left="0" w:right="0" w:hanging="0"/>
              <w:jc w:val="right"/>
              <w:rPr/>
            </w:pPr>
            <w:bookmarkStart w:id="46" w:name="NetFeeAmt"/>
            <w:bookmarkEnd w:id="46"/>
            <w:r>
              <w:rPr/>
              <w:t xml:space="preserve">$ 16,707.57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8"/>
        <w:gridCol w:w="1297"/>
        <w:gridCol w:w="8710"/>
      </w:tblGrid>
      <w:tr>
        <w:trPr/>
        <w:tc>
          <w:tcPr>
            <w:tcW w:w="19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7" w:type="dxa"/>
            <w:gridSpan w:val="2"/>
            <w:tcBorders/>
            <w:vAlign w:val="center"/>
          </w:tcPr>
          <w:p>
            <w:pPr>
              <w:pStyle w:val="TableContents"/>
              <w:bidi w:val="0"/>
              <w:spacing w:before="0" w:after="283"/>
              <w:jc w:val="left"/>
              <w:rPr/>
            </w:pPr>
            <w:r>
              <w:rPr/>
              <w:t xml:space="preserve">* Estimated solely for purposes of calculating the amount of the filing fee only. The transaction valuation was calculated by adding (i) the product of (A) 22,077,467 shares of common stock, par value $0.0001 per share (the "Shares"), of Adverum Biotechnologies, Inc., a Delaware corporation ("Adverum"), issued and outstanding (inclusive of Shares that are subject to vesting or forfeiture restrictions granted pursuant to a Adverum equity incentive plan, program or arrangement), and (B) $4.31, the average of the high and low sales prices per Share on November 5, 2025, as reported by the Nasdaq Capital Market (which, for the purposes of calculating the filing fee only, shall be deemed to be the "Reference Price"); (ii) the product of (A) 158,130 Shares subject to issuance pursuant to outstanding stock options with an exercise price less than $3.56 and (B)$1.70, the difference between the Reference Price and $2.61, the weighted average exercise price of such options; (iii) the product of (A) 427,396 Shares subject to issuance pursuant to outstanding restricted stock unit awards subject to solely time based vesting and (B) the Reference Price; (iv) the product of (A) 1,988,301 Shares subject to issuance pursuant to outstanding restricted stock unit awards subject solely to performance-based vesting and (B) the Reference Price; (v) the product of (A) 58,444 Shares subject to issuance pursuant to the outstanding purchase rights under the Adverum Biotechnologies 2014 Employee Stock Purchase Plan and (B) the Reference Price; and (vi) the product of (A) 3,456,099 Shares subject to issuance pursuant to outstanding pre-funded warrants to purchase Shares at an exercise price of $0.0001 and (B) the difference between the Reference Price and $0.0001. The calculation of the filing fee is based on information provided by Adverum as of November 3, 2025. ** The amount of the filing fee was calculated in accordance with Rule 0-11 of the Securities Exchange Act of 1934, as amended, and Fee Rate Advisory #1 for fiscal year 2026 beginning on October 1, 2025, issued August 25, 2025, by multiplying the transaction value by 0.00013810. </w:t>
            </w:r>
          </w:p>
        </w:tc>
      </w:tr>
      <w:tr>
        <w:trPr/>
        <w:tc>
          <w:tcPr>
            <w:tcW w:w="1495" w:type="dxa"/>
            <w:gridSpan w:val="2"/>
            <w:tcBorders/>
            <w:vAlign w:val="center"/>
          </w:tcPr>
          <w:p>
            <w:pPr>
              <w:pStyle w:val="HorizontalLine"/>
              <w:pBdr>
                <w:bottom w:val="double" w:sz="2" w:space="0" w:color="808080"/>
              </w:pBdr>
              <w:bidi w:val="0"/>
              <w:spacing w:before="0" w:after="283"/>
              <w:jc w:val="left"/>
              <w:rPr/>
            </w:pPr>
            <w:r>
              <w:rPr/>
            </w:r>
          </w:p>
        </w:tc>
        <w:tc>
          <w:tcPr>
            <w:tcW w:w="8710"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 xml:space="preserve">Table 2: </w:t>
            </w:r>
            <w:r>
              <w:rPr>
                <w:b/>
                <w:u w:val="single"/>
              </w:rPr>
              <w:t>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182"/>
        <w:gridCol w:w="413"/>
        <w:gridCol w:w="1603"/>
        <w:gridCol w:w="1128"/>
        <w:gridCol w:w="1099"/>
        <w:gridCol w:w="1054"/>
        <w:gridCol w:w="859"/>
        <w:gridCol w:w="1280"/>
        <w:gridCol w:w="1587"/>
      </w:tblGrid>
      <w:tr>
        <w:trPr/>
        <w:tc>
          <w:tcPr>
            <w:tcW w:w="1182" w:type="dxa"/>
            <w:tcBorders/>
            <w:shd w:fill="9ADAF6" w:val="clear"/>
            <w:vAlign w:val="center"/>
          </w:tcPr>
          <w:p>
            <w:pPr>
              <w:pStyle w:val="TableHeading"/>
              <w:bidi w:val="0"/>
              <w:spacing w:before="0" w:after="283"/>
              <w:rPr>
                <w:sz w:val="4"/>
                <w:szCs w:val="4"/>
              </w:rPr>
            </w:pPr>
            <w:r>
              <w:rPr>
                <w:sz w:val="4"/>
                <w:szCs w:val="4"/>
              </w:rPr>
            </w:r>
          </w:p>
        </w:tc>
        <w:tc>
          <w:tcPr>
            <w:tcW w:w="413" w:type="dxa"/>
            <w:tcBorders/>
            <w:shd w:fill="9ADAF6" w:val="clear"/>
            <w:vAlign w:val="center"/>
          </w:tcPr>
          <w:p>
            <w:pPr>
              <w:pStyle w:val="TableHeading"/>
              <w:bidi w:val="0"/>
              <w:spacing w:before="0" w:after="283"/>
              <w:rPr>
                <w:sz w:val="4"/>
                <w:szCs w:val="4"/>
              </w:rPr>
            </w:pPr>
            <w:r>
              <w:rPr>
                <w:sz w:val="4"/>
                <w:szCs w:val="4"/>
              </w:rPr>
            </w:r>
          </w:p>
        </w:tc>
        <w:tc>
          <w:tcPr>
            <w:tcW w:w="1603" w:type="dxa"/>
            <w:tcBorders/>
            <w:shd w:fill="9ADAF6" w:val="clear"/>
            <w:vAlign w:val="center"/>
          </w:tcPr>
          <w:p>
            <w:pPr>
              <w:pStyle w:val="TableHeading"/>
              <w:suppressLineNumbers/>
              <w:bidi w:val="0"/>
              <w:spacing w:before="0" w:after="283"/>
              <w:jc w:val="center"/>
              <w:rPr/>
            </w:pPr>
            <w:r>
              <w:rPr/>
              <w:t xml:space="preserve">Registrant or Filer Name </w:t>
            </w:r>
          </w:p>
        </w:tc>
        <w:tc>
          <w:tcPr>
            <w:tcW w:w="1128" w:type="dxa"/>
            <w:tcBorders/>
            <w:shd w:fill="9ADAF6" w:val="clear"/>
            <w:vAlign w:val="center"/>
          </w:tcPr>
          <w:p>
            <w:pPr>
              <w:pStyle w:val="TableHeading"/>
              <w:suppressLineNumbers/>
              <w:bidi w:val="0"/>
              <w:spacing w:before="0" w:after="283"/>
              <w:jc w:val="center"/>
              <w:rPr/>
            </w:pPr>
            <w:r>
              <w:rPr/>
              <w:t xml:space="preserve">Form or Filing Type </w:t>
            </w:r>
          </w:p>
        </w:tc>
        <w:tc>
          <w:tcPr>
            <w:tcW w:w="1099" w:type="dxa"/>
            <w:tcBorders/>
            <w:shd w:fill="9ADAF6" w:val="clear"/>
            <w:vAlign w:val="center"/>
          </w:tcPr>
          <w:p>
            <w:pPr>
              <w:pStyle w:val="TableHeading"/>
              <w:suppressLineNumbers/>
              <w:bidi w:val="0"/>
              <w:spacing w:before="0" w:after="283"/>
              <w:jc w:val="center"/>
              <w:rPr/>
            </w:pPr>
            <w:r>
              <w:rPr/>
              <w:t xml:space="preserve">File Number </w:t>
            </w:r>
          </w:p>
        </w:tc>
        <w:tc>
          <w:tcPr>
            <w:tcW w:w="1054" w:type="dxa"/>
            <w:tcBorders/>
            <w:shd w:fill="9ADAF6" w:val="clear"/>
            <w:vAlign w:val="center"/>
          </w:tcPr>
          <w:p>
            <w:pPr>
              <w:pStyle w:val="TableHeading"/>
              <w:suppressLineNumbers/>
              <w:bidi w:val="0"/>
              <w:spacing w:before="0" w:after="283"/>
              <w:jc w:val="center"/>
              <w:rPr/>
            </w:pPr>
            <w:r>
              <w:rPr/>
              <w:t xml:space="preserve">Initial Filing Date </w:t>
            </w:r>
          </w:p>
        </w:tc>
        <w:tc>
          <w:tcPr>
            <w:tcW w:w="859" w:type="dxa"/>
            <w:tcBorders/>
            <w:shd w:fill="9ADAF6" w:val="clear"/>
            <w:vAlign w:val="center"/>
          </w:tcPr>
          <w:p>
            <w:pPr>
              <w:pStyle w:val="TableHeading"/>
              <w:suppressLineNumbers/>
              <w:bidi w:val="0"/>
              <w:spacing w:before="0" w:after="283"/>
              <w:jc w:val="center"/>
              <w:rPr/>
            </w:pPr>
            <w:r>
              <w:rPr/>
              <w:t xml:space="preserve">Filing Date </w:t>
            </w:r>
          </w:p>
        </w:tc>
        <w:tc>
          <w:tcPr>
            <w:tcW w:w="1280" w:type="dxa"/>
            <w:tcBorders/>
            <w:shd w:fill="9ADAF6" w:val="clear"/>
            <w:vAlign w:val="center"/>
          </w:tcPr>
          <w:p>
            <w:pPr>
              <w:pStyle w:val="TableHeading"/>
              <w:suppressLineNumbers/>
              <w:bidi w:val="0"/>
              <w:spacing w:before="0" w:after="283"/>
              <w:jc w:val="center"/>
              <w:rPr/>
            </w:pPr>
            <w:r>
              <w:rPr/>
              <w:t xml:space="preserve">Fee Offset Claimed </w:t>
            </w:r>
          </w:p>
        </w:tc>
        <w:tc>
          <w:tcPr>
            <w:tcW w:w="1587" w:type="dxa"/>
            <w:tcBorders/>
            <w:shd w:fill="9ADAF6" w:val="clear"/>
            <w:vAlign w:val="center"/>
          </w:tcPr>
          <w:p>
            <w:pPr>
              <w:pStyle w:val="TableHeading"/>
              <w:suppressLineNumbers/>
              <w:bidi w:val="0"/>
              <w:spacing w:before="0" w:after="283"/>
              <w:jc w:val="center"/>
              <w:rPr/>
            </w:pPr>
            <w:r>
              <w:rPr/>
              <w:t xml:space="preserve">Fee Paid with Fee Offset Source </w:t>
            </w:r>
          </w:p>
        </w:tc>
      </w:tr>
      <w:tr>
        <w:trPr/>
        <w:tc>
          <w:tcPr>
            <w:tcW w:w="1182" w:type="dxa"/>
            <w:tcBorders/>
            <w:shd w:fill="E7E7E2" w:val="clear"/>
            <w:vAlign w:val="center"/>
          </w:tcPr>
          <w:p>
            <w:pPr>
              <w:pStyle w:val="TableContents"/>
              <w:bidi w:val="0"/>
              <w:spacing w:before="0" w:after="283"/>
              <w:jc w:val="left"/>
              <w:rPr/>
            </w:pPr>
            <w:r>
              <w:rPr/>
              <w:t xml:space="preserve">Fee Offset Claims </w:t>
            </w:r>
          </w:p>
        </w:tc>
        <w:tc>
          <w:tcPr>
            <w:tcW w:w="413" w:type="dxa"/>
            <w:tcBorders/>
            <w:shd w:fill="E7E7E2" w:val="clear"/>
            <w:vAlign w:val="center"/>
          </w:tcPr>
          <w:p>
            <w:pPr>
              <w:pStyle w:val="TableContents"/>
              <w:bidi w:val="0"/>
              <w:spacing w:before="0" w:after="283"/>
              <w:jc w:val="left"/>
              <w:rPr/>
            </w:pPr>
            <w:r>
              <w:rPr/>
              <w:t xml:space="preserve">N/A </w:t>
            </w:r>
          </w:p>
        </w:tc>
        <w:tc>
          <w:tcPr>
            <w:tcW w:w="1603" w:type="dxa"/>
            <w:tcBorders/>
            <w:shd w:fill="E7E7E2" w:val="clear"/>
            <w:vAlign w:val="center"/>
          </w:tcPr>
          <w:p>
            <w:pPr>
              <w:pStyle w:val="TableContents"/>
              <w:bidi w:val="0"/>
              <w:spacing w:before="0" w:after="283"/>
              <w:jc w:val="left"/>
              <w:rPr/>
            </w:pPr>
            <w:r>
              <w:rPr/>
              <w:t xml:space="preserve">N/A </w:t>
            </w:r>
          </w:p>
        </w:tc>
        <w:tc>
          <w:tcPr>
            <w:tcW w:w="1128" w:type="dxa"/>
            <w:tcBorders/>
            <w:shd w:fill="E7E7E2" w:val="clear"/>
            <w:vAlign w:val="center"/>
          </w:tcPr>
          <w:p>
            <w:pPr>
              <w:pStyle w:val="TableContents"/>
              <w:bidi w:val="0"/>
              <w:spacing w:before="0" w:after="283"/>
              <w:jc w:val="left"/>
              <w:rPr/>
            </w:pPr>
            <w:r>
              <w:rPr/>
              <w:t xml:space="preserve">N/A </w:t>
            </w:r>
          </w:p>
        </w:tc>
        <w:tc>
          <w:tcPr>
            <w:tcW w:w="1099" w:type="dxa"/>
            <w:tcBorders/>
            <w:shd w:fill="E7E7E2" w:val="clear"/>
            <w:vAlign w:val="center"/>
          </w:tcPr>
          <w:p>
            <w:pPr>
              <w:pStyle w:val="TableContents"/>
              <w:bidi w:val="0"/>
              <w:spacing w:before="0" w:after="283"/>
              <w:jc w:val="left"/>
              <w:rPr/>
            </w:pPr>
            <w:r>
              <w:rPr/>
              <w:t xml:space="preserve">N/A </w:t>
            </w:r>
          </w:p>
        </w:tc>
        <w:tc>
          <w:tcPr>
            <w:tcW w:w="1054" w:type="dxa"/>
            <w:tcBorders/>
            <w:shd w:fill="E7E7E2" w:val="clear"/>
            <w:vAlign w:val="center"/>
          </w:tcPr>
          <w:p>
            <w:pPr>
              <w:pStyle w:val="TableContents"/>
              <w:bidi w:val="0"/>
              <w:spacing w:before="0" w:after="283"/>
              <w:jc w:val="left"/>
              <w:rPr/>
            </w:pPr>
            <w:r>
              <w:rPr/>
              <w:t xml:space="preserve">N/A </w:t>
            </w:r>
          </w:p>
        </w:tc>
        <w:tc>
          <w:tcPr>
            <w:tcW w:w="859" w:type="dxa"/>
            <w:tcBorders/>
            <w:shd w:fill="E7E7E2" w:val="clear"/>
            <w:vAlign w:val="center"/>
          </w:tcPr>
          <w:p>
            <w:pPr>
              <w:pStyle w:val="TableContents"/>
              <w:bidi w:val="0"/>
              <w:spacing w:before="0" w:after="283"/>
              <w:jc w:val="left"/>
              <w:rPr/>
            </w:pPr>
            <w:r>
              <w:rPr/>
              <w:t xml:space="preserve">N/A </w:t>
            </w:r>
          </w:p>
        </w:tc>
        <w:tc>
          <w:tcPr>
            <w:tcW w:w="1280" w:type="dxa"/>
            <w:tcBorders/>
            <w:shd w:fill="E7E7E2" w:val="clear"/>
            <w:vAlign w:val="center"/>
          </w:tcPr>
          <w:p>
            <w:pPr>
              <w:pStyle w:val="TableContents"/>
              <w:bidi w:val="0"/>
              <w:spacing w:before="0" w:after="283"/>
              <w:jc w:val="right"/>
              <w:rPr/>
            </w:pPr>
            <w:r>
              <w:rPr/>
              <w:t xml:space="preserve">N/A </w:t>
            </w:r>
          </w:p>
        </w:tc>
        <w:tc>
          <w:tcPr>
            <w:tcW w:w="1587" w:type="dxa"/>
            <w:tcBorders/>
            <w:shd w:fill="E7E7E2" w:val="clear"/>
            <w:vAlign w:val="center"/>
          </w:tcPr>
          <w:p>
            <w:pPr>
              <w:pStyle w:val="TableContents"/>
              <w:bidi w:val="0"/>
              <w:spacing w:before="0" w:after="283"/>
              <w:jc w:val="right"/>
              <w:rPr/>
            </w:pPr>
            <w:r>
              <w:rPr/>
              <w:t xml:space="preserve">N/A </w:t>
            </w:r>
          </w:p>
        </w:tc>
      </w:tr>
      <w:tr>
        <w:trPr/>
        <w:tc>
          <w:tcPr>
            <w:tcW w:w="1182" w:type="dxa"/>
            <w:tcBorders/>
            <w:shd w:fill="E7E7E2" w:val="clear"/>
            <w:vAlign w:val="center"/>
          </w:tcPr>
          <w:p>
            <w:pPr>
              <w:pStyle w:val="TableContents"/>
              <w:bidi w:val="0"/>
              <w:spacing w:before="0" w:after="283"/>
              <w:jc w:val="left"/>
              <w:rPr/>
            </w:pPr>
            <w:r>
              <w:rPr/>
              <w:t xml:space="preserve">Fee Offset Sources </w:t>
            </w:r>
          </w:p>
        </w:tc>
        <w:tc>
          <w:tcPr>
            <w:tcW w:w="413" w:type="dxa"/>
            <w:tcBorders/>
            <w:shd w:fill="E7E7E2" w:val="clear"/>
            <w:vAlign w:val="center"/>
          </w:tcPr>
          <w:p>
            <w:pPr>
              <w:pStyle w:val="TableContents"/>
              <w:bidi w:val="0"/>
              <w:spacing w:before="0" w:after="283"/>
              <w:jc w:val="left"/>
              <w:rPr/>
            </w:pPr>
            <w:r>
              <w:rPr/>
              <w:t xml:space="preserve">N/A </w:t>
            </w:r>
          </w:p>
        </w:tc>
        <w:tc>
          <w:tcPr>
            <w:tcW w:w="1603" w:type="dxa"/>
            <w:tcBorders/>
            <w:shd w:fill="E7E7E2" w:val="clear"/>
            <w:vAlign w:val="center"/>
          </w:tcPr>
          <w:p>
            <w:pPr>
              <w:pStyle w:val="TableContents"/>
              <w:bidi w:val="0"/>
              <w:spacing w:before="0" w:after="283"/>
              <w:jc w:val="left"/>
              <w:rPr/>
            </w:pPr>
            <w:r>
              <w:rPr/>
              <w:t xml:space="preserve">N/A </w:t>
            </w:r>
          </w:p>
        </w:tc>
        <w:tc>
          <w:tcPr>
            <w:tcW w:w="1128" w:type="dxa"/>
            <w:tcBorders/>
            <w:shd w:fill="E7E7E2" w:val="clear"/>
            <w:vAlign w:val="center"/>
          </w:tcPr>
          <w:p>
            <w:pPr>
              <w:pStyle w:val="TableContents"/>
              <w:bidi w:val="0"/>
              <w:spacing w:before="0" w:after="283"/>
              <w:jc w:val="left"/>
              <w:rPr/>
            </w:pPr>
            <w:r>
              <w:rPr/>
              <w:t xml:space="preserve">N/A </w:t>
            </w:r>
          </w:p>
        </w:tc>
        <w:tc>
          <w:tcPr>
            <w:tcW w:w="1099" w:type="dxa"/>
            <w:tcBorders/>
            <w:shd w:fill="E7E7E2" w:val="clear"/>
            <w:vAlign w:val="center"/>
          </w:tcPr>
          <w:p>
            <w:pPr>
              <w:pStyle w:val="TableContents"/>
              <w:bidi w:val="0"/>
              <w:spacing w:before="0" w:after="283"/>
              <w:jc w:val="left"/>
              <w:rPr/>
            </w:pPr>
            <w:r>
              <w:rPr/>
              <w:t xml:space="preserve">N/A </w:t>
            </w:r>
          </w:p>
        </w:tc>
        <w:tc>
          <w:tcPr>
            <w:tcW w:w="1054" w:type="dxa"/>
            <w:tcBorders/>
            <w:shd w:fill="E7E7E2" w:val="clear"/>
            <w:vAlign w:val="center"/>
          </w:tcPr>
          <w:p>
            <w:pPr>
              <w:pStyle w:val="TableContents"/>
              <w:bidi w:val="0"/>
              <w:spacing w:before="0" w:after="283"/>
              <w:jc w:val="left"/>
              <w:rPr/>
            </w:pPr>
            <w:r>
              <w:rPr/>
              <w:t xml:space="preserve">N/A </w:t>
            </w:r>
          </w:p>
        </w:tc>
        <w:tc>
          <w:tcPr>
            <w:tcW w:w="859" w:type="dxa"/>
            <w:tcBorders/>
            <w:shd w:fill="E7E7E2" w:val="clear"/>
            <w:vAlign w:val="center"/>
          </w:tcPr>
          <w:p>
            <w:pPr>
              <w:pStyle w:val="TableContents"/>
              <w:bidi w:val="0"/>
              <w:spacing w:before="0" w:after="283"/>
              <w:jc w:val="left"/>
              <w:rPr/>
            </w:pPr>
            <w:r>
              <w:rPr/>
              <w:t xml:space="preserve">N/A </w:t>
            </w:r>
          </w:p>
        </w:tc>
        <w:tc>
          <w:tcPr>
            <w:tcW w:w="1280" w:type="dxa"/>
            <w:tcBorders/>
            <w:shd w:fill="E7E7E2" w:val="clear"/>
            <w:vAlign w:val="center"/>
          </w:tcPr>
          <w:p>
            <w:pPr>
              <w:pStyle w:val="TableContents"/>
              <w:bidi w:val="0"/>
              <w:spacing w:before="0" w:after="283"/>
              <w:jc w:val="right"/>
              <w:rPr/>
            </w:pPr>
            <w:r>
              <w:rPr/>
              <w:t xml:space="preserve">N/A </w:t>
            </w:r>
          </w:p>
        </w:tc>
        <w:tc>
          <w:tcPr>
            <w:tcW w:w="1587" w:type="dxa"/>
            <w:tcBorders/>
            <w:shd w:fill="E7E7E2" w:val="clear"/>
            <w:vAlign w:val="center"/>
          </w:tcPr>
          <w:p>
            <w:pPr>
              <w:pStyle w:val="TableContents"/>
              <w:bidi w:val="0"/>
              <w:spacing w:before="0" w:after="283"/>
              <w:jc w:val="right"/>
              <w:rPr/>
            </w:pPr>
            <w:r>
              <w:rPr/>
              <w:t xml:space="preserve">N/A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59478/000119312525250031/d234815dex991.htm" TargetMode="External"/><Relationship Id="rId3" Type="http://schemas.openxmlformats.org/officeDocument/2006/relationships/hyperlink" Target="http://www.sec.gov/Archives/edgar/data/1501756/000119312525249438/d70157dex21.htm" TargetMode="External"/><Relationship Id="rId4" Type="http://schemas.openxmlformats.org/officeDocument/2006/relationships/hyperlink" Target="http://www.sec.gov/Archives/edgar/data/1501756/000119312525249438/d70157dex21.htm" TargetMode="External"/><Relationship Id="rId5" Type="http://schemas.openxmlformats.org/officeDocument/2006/relationships/hyperlink" Target="http://www.sec.gov/Archives/edgar/data/1501756/000119312525249438/d70157dex101.htm"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131</Pages>
  <Words>79401</Words>
  <Characters>416037</Characters>
  <CharactersWithSpaces>497441</CharactersWithSpaces>
  <Paragraphs>3674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EX-99.(d)(5)</dc:title>
</cp:coreProperties>
</file>