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7"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186"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9" w:lineRule="exact"/>
        <w:rPr>
          <w:sz w:val="24"/>
          <w:szCs w:val="24"/>
          <w:color w:val="auto"/>
        </w:rPr>
      </w:pPr>
    </w:p>
    <w:p>
      <w:pPr>
        <w:jc w:val="center"/>
        <w:ind w:right="-199"/>
        <w:spacing w:after="0"/>
        <w:rPr>
          <w:sz w:val="20"/>
          <w:szCs w:val="20"/>
          <w:color w:val="auto"/>
        </w:rPr>
      </w:pPr>
      <w:r>
        <w:rPr>
          <w:rFonts w:ascii="Arial" w:cs="Arial" w:eastAsia="Arial" w:hAnsi="Arial"/>
          <w:sz w:val="20"/>
          <w:szCs w:val="20"/>
          <w:color w:val="auto"/>
        </w:rPr>
        <w:t>Washington, D.C. 20549</w:t>
      </w:r>
    </w:p>
    <w:p>
      <w:pPr>
        <w:spacing w:after="0" w:line="362"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ind w:right="2580" w:firstLine="8"/>
        <w:spacing w:after="0" w:line="261"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15(d) OF THE SECURITIES EXCHANGE ACT OF 1934 For the fiscal year ended December 31, 2020</w:t>
      </w:r>
      <w:r>
        <w:rPr>
          <w:rFonts w:ascii="Arial" w:cs="Arial" w:eastAsia="Arial" w:hAnsi="Arial"/>
          <w:sz w:val="18"/>
          <w:szCs w:val="18"/>
          <w:color w:val="auto"/>
        </w:rPr>
        <w:t>.</w:t>
      </w:r>
    </w:p>
    <w:p>
      <w:pPr>
        <w:jc w:val="center"/>
        <w:ind w:right="120"/>
        <w:spacing w:after="0"/>
        <w:rPr>
          <w:sz w:val="20"/>
          <w:szCs w:val="20"/>
          <w:color w:val="auto"/>
        </w:rPr>
      </w:pPr>
      <w:r>
        <w:rPr>
          <w:rFonts w:ascii="Arial" w:cs="Arial" w:eastAsia="Arial" w:hAnsi="Arial"/>
          <w:sz w:val="18"/>
          <w:szCs w:val="18"/>
          <w:color w:val="auto"/>
        </w:rPr>
        <w:t>OR</w:t>
      </w:r>
    </w:p>
    <w:p>
      <w:pPr>
        <w:spacing w:after="0" w:line="8" w:lineRule="exact"/>
        <w:rPr>
          <w:sz w:val="24"/>
          <w:szCs w:val="24"/>
          <w:color w:val="auto"/>
        </w:rPr>
      </w:pPr>
    </w:p>
    <w:p>
      <w:pPr>
        <w:ind w:left="180" w:right="2260" w:hanging="179"/>
        <w:spacing w:after="0" w:line="261" w:lineRule="auto"/>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TRANSITION REPORT PURSUANT TO SECTION 15(d) OF THE SECURITIES EXCHANGE ACT OF 1934</w:t>
      </w:r>
      <w:r>
        <w:rPr>
          <w:rFonts w:ascii="Arial" w:cs="Arial" w:eastAsia="Arial" w:hAnsi="Arial"/>
          <w:sz w:val="18"/>
          <w:szCs w:val="18"/>
          <w:color w:val="auto"/>
        </w:rPr>
        <w:t xml:space="preserve"> For the transition period from __________________________to __________________________</w:t>
      </w:r>
    </w:p>
    <w:p>
      <w:pPr>
        <w:spacing w:after="0" w:line="207"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Commission file number 001-06351</w:t>
      </w:r>
    </w:p>
    <w:p>
      <w:pPr>
        <w:spacing w:after="0" w:line="243"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w:t>
      </w:r>
    </w:p>
    <w:p>
      <w:pPr>
        <w:spacing w:after="0" w:line="63"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Full title of the plan and the address of the plan, if different from that of the issuer named below:</w:t>
      </w:r>
    </w:p>
    <w:p>
      <w:pPr>
        <w:spacing w:after="0" w:line="347"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The Lilly Employee 401(k) Plan</w:t>
      </w:r>
    </w:p>
    <w:p>
      <w:pPr>
        <w:spacing w:after="0" w:line="58"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The Savings Plan for Lilly Affiliate Employees in Puerto Rico</w:t>
      </w:r>
    </w:p>
    <w:p>
      <w:pPr>
        <w:spacing w:after="0" w:line="57" w:lineRule="exact"/>
        <w:rPr>
          <w:sz w:val="24"/>
          <w:szCs w:val="24"/>
          <w:color w:val="auto"/>
        </w:rPr>
      </w:pPr>
    </w:p>
    <w:p>
      <w:pPr>
        <w:spacing w:after="0"/>
        <w:tabs>
          <w:tab w:leader="none" w:pos="3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Name of issuer of the securities held pursuant to the plan and the address of its principal executive office:</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Eli Lilly and Company</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Lilly Corporate Center</w:t>
      </w:r>
    </w:p>
    <w:p>
      <w:pPr>
        <w:spacing w:after="0" w:line="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Indianapolis, Indiana 46285</w:t>
      </w:r>
    </w:p>
    <w:p>
      <w:pPr>
        <w:spacing w:after="0" w:line="223" w:lineRule="exact"/>
        <w:rPr>
          <w:sz w:val="24"/>
          <w:szCs w:val="24"/>
          <w:color w:val="auto"/>
        </w:rPr>
      </w:pPr>
    </w:p>
    <w:p>
      <w:pPr>
        <w:ind w:left="4220"/>
        <w:spacing w:after="0"/>
        <w:rPr>
          <w:sz w:val="20"/>
          <w:szCs w:val="20"/>
          <w:color w:val="auto"/>
        </w:rPr>
      </w:pPr>
      <w:r>
        <w:rPr>
          <w:rFonts w:ascii="Arial" w:cs="Arial" w:eastAsia="Arial" w:hAnsi="Arial"/>
          <w:sz w:val="22"/>
          <w:szCs w:val="22"/>
          <w:b w:val="1"/>
          <w:bCs w:val="1"/>
          <w:color w:val="auto"/>
        </w:rPr>
        <w:t>REQUIRED INFORMATION</w:t>
      </w:r>
    </w:p>
    <w:p>
      <w:pPr>
        <w:spacing w:after="0" w:line="57" w:lineRule="exact"/>
        <w:rPr>
          <w:sz w:val="24"/>
          <w:szCs w:val="24"/>
          <w:color w:val="auto"/>
        </w:rPr>
      </w:pPr>
    </w:p>
    <w:p>
      <w:pPr>
        <w:spacing w:after="0"/>
        <w:rPr>
          <w:sz w:val="20"/>
          <w:szCs w:val="20"/>
          <w:color w:val="auto"/>
        </w:rPr>
      </w:pPr>
      <w:r>
        <w:rPr>
          <w:rFonts w:ascii="Arial" w:cs="Arial" w:eastAsia="Arial" w:hAnsi="Arial"/>
          <w:sz w:val="18"/>
          <w:szCs w:val="18"/>
          <w:color w:val="auto"/>
        </w:rPr>
        <w:t>The following financial statements shall be furnished for the plan:</w:t>
      </w:r>
    </w:p>
    <w:p>
      <w:pPr>
        <w:spacing w:after="0" w:line="252"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Lilly Employee 401(k) Plan and The Savings Plan for Lilly Affiliate Employees in Puerto Rico (the Plans) are subject to the requirements of the Employee Retirement Income Security Act of 1974 (ERISA). Attached hereto are copies of the most recent financial statements and schedule of the Plans prepared in accordance with the financial reporting requirements of ERISA.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320" w:top="1440" w:right="539" w:bottom="1440"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Financial Statements and Supplemental Schedules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2020 and 2019 and for the Year Ended December 31, 2020</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Table of Contents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00" w:type="dxa"/>
            <w:vAlign w:val="bottom"/>
          </w:tcPr>
          <w:p>
            <w:pPr>
              <w:ind w:left="20"/>
              <w:spacing w:after="0"/>
              <w:rPr>
                <w:sz w:val="20"/>
                <w:szCs w:val="20"/>
                <w:color w:val="auto"/>
              </w:rPr>
            </w:pPr>
            <w:r>
              <w:rPr>
                <w:rFonts w:ascii="Arial" w:cs="Arial" w:eastAsia="Arial" w:hAnsi="Arial"/>
                <w:sz w:val="18"/>
                <w:szCs w:val="18"/>
                <w:color w:val="auto"/>
              </w:rPr>
              <w:t>Report of Independent Registered Public Accounting Firm</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48"/>
        </w:trPr>
        <w:tc>
          <w:tcPr>
            <w:tcW w:w="9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9900" w:type="dxa"/>
            <w:vAlign w:val="bottom"/>
            <w:shd w:val="clear" w:color="auto" w:fill="B3B3B3"/>
          </w:tcPr>
          <w:p>
            <w:pPr>
              <w:ind w:left="20"/>
              <w:spacing w:after="0"/>
              <w:rPr>
                <w:sz w:val="20"/>
                <w:szCs w:val="20"/>
                <w:color w:val="auto"/>
              </w:rPr>
            </w:pPr>
            <w:r>
              <w:rPr>
                <w:rFonts w:ascii="Arial" w:cs="Arial" w:eastAsia="Arial" w:hAnsi="Arial"/>
                <w:sz w:val="18"/>
                <w:szCs w:val="18"/>
                <w:color w:val="auto"/>
              </w:rPr>
              <w:t>Financial Statements</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9900" w:type="dxa"/>
            <w:vAlign w:val="bottom"/>
          </w:tcPr>
          <w:p>
            <w:pPr>
              <w:ind w:left="20"/>
              <w:spacing w:after="0"/>
              <w:rPr>
                <w:sz w:val="20"/>
                <w:szCs w:val="20"/>
                <w:color w:val="auto"/>
              </w:rPr>
            </w:pPr>
            <w:r>
              <w:rPr>
                <w:rFonts w:ascii="Arial" w:cs="Arial" w:eastAsia="Arial" w:hAnsi="Arial"/>
                <w:sz w:val="18"/>
                <w:szCs w:val="18"/>
                <w:color w:val="auto"/>
              </w:rPr>
              <w:t>Statements of Net Assets Available for Benefits - 2020</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9900" w:type="dxa"/>
            <w:vAlign w:val="bottom"/>
          </w:tcPr>
          <w:p>
            <w:pPr>
              <w:ind w:left="20"/>
              <w:spacing w:after="0"/>
              <w:rPr>
                <w:sz w:val="20"/>
                <w:szCs w:val="20"/>
                <w:color w:val="auto"/>
              </w:rPr>
            </w:pPr>
            <w:r>
              <w:rPr>
                <w:rFonts w:ascii="Arial" w:cs="Arial" w:eastAsia="Arial" w:hAnsi="Arial"/>
                <w:sz w:val="18"/>
                <w:szCs w:val="18"/>
                <w:color w:val="auto"/>
              </w:rPr>
              <w:t>Statements of Net Assets Available for Benefits - 2019</w:t>
            </w: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9900" w:type="dxa"/>
            <w:vAlign w:val="bottom"/>
          </w:tcPr>
          <w:p>
            <w:pPr>
              <w:ind w:left="20"/>
              <w:spacing w:after="0"/>
              <w:rPr>
                <w:sz w:val="20"/>
                <w:szCs w:val="20"/>
                <w:color w:val="auto"/>
              </w:rPr>
            </w:pPr>
            <w:r>
              <w:rPr>
                <w:rFonts w:ascii="Arial" w:cs="Arial" w:eastAsia="Arial" w:hAnsi="Arial"/>
                <w:sz w:val="18"/>
                <w:szCs w:val="18"/>
                <w:color w:val="auto"/>
              </w:rPr>
              <w:t>Statements of Changes in Net Assets Available for Benefits</w:t>
            </w: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9900" w:type="dxa"/>
            <w:vAlign w:val="bottom"/>
          </w:tcPr>
          <w:p>
            <w:pPr>
              <w:ind w:left="20"/>
              <w:spacing w:after="0"/>
              <w:rPr>
                <w:sz w:val="20"/>
                <w:szCs w:val="20"/>
                <w:color w:val="auto"/>
              </w:rPr>
            </w:pPr>
            <w:r>
              <w:rPr>
                <w:rFonts w:ascii="Arial" w:cs="Arial" w:eastAsia="Arial" w:hAnsi="Arial"/>
                <w:sz w:val="18"/>
                <w:szCs w:val="18"/>
                <w:color w:val="auto"/>
              </w:rPr>
              <w:t>Notes to Financial Statements</w:t>
            </w: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48"/>
        </w:trPr>
        <w:tc>
          <w:tcPr>
            <w:tcW w:w="9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9900" w:type="dxa"/>
            <w:vAlign w:val="bottom"/>
            <w:shd w:val="clear" w:color="auto" w:fill="B3B3B3"/>
          </w:tcPr>
          <w:p>
            <w:pPr>
              <w:ind w:left="20"/>
              <w:spacing w:after="0"/>
              <w:rPr>
                <w:sz w:val="20"/>
                <w:szCs w:val="20"/>
                <w:color w:val="auto"/>
              </w:rPr>
            </w:pPr>
            <w:r>
              <w:rPr>
                <w:rFonts w:ascii="Arial" w:cs="Arial" w:eastAsia="Arial" w:hAnsi="Arial"/>
                <w:sz w:val="18"/>
                <w:szCs w:val="18"/>
                <w:color w:val="auto"/>
              </w:rPr>
              <w:t>Supplemental Schedules</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9900" w:type="dxa"/>
            <w:vAlign w:val="bottom"/>
          </w:tcPr>
          <w:p>
            <w:pPr>
              <w:ind w:left="20"/>
              <w:spacing w:after="0"/>
              <w:rPr>
                <w:sz w:val="20"/>
                <w:szCs w:val="20"/>
                <w:color w:val="auto"/>
              </w:rPr>
            </w:pPr>
            <w:r>
              <w:rPr>
                <w:rFonts w:ascii="Arial" w:cs="Arial" w:eastAsia="Arial" w:hAnsi="Arial"/>
                <w:sz w:val="18"/>
                <w:szCs w:val="18"/>
                <w:color w:val="auto"/>
              </w:rPr>
              <w:t>Schedule of Assets (Held at End of Year) -</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9900" w:type="dxa"/>
            <w:vAlign w:val="bottom"/>
          </w:tcPr>
          <w:p>
            <w:pPr>
              <w:ind w:left="240"/>
              <w:spacing w:after="0"/>
              <w:rPr>
                <w:sz w:val="20"/>
                <w:szCs w:val="20"/>
                <w:color w:val="auto"/>
              </w:rPr>
            </w:pPr>
            <w:r>
              <w:rPr>
                <w:rFonts w:ascii="Arial" w:cs="Arial" w:eastAsia="Arial" w:hAnsi="Arial"/>
                <w:sz w:val="18"/>
                <w:szCs w:val="18"/>
                <w:color w:val="auto"/>
              </w:rPr>
              <w:t>The Lilly Employee 401(k) Plan</w:t>
            </w:r>
          </w:p>
        </w:tc>
        <w:tc>
          <w:tcPr>
            <w:tcW w:w="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900" w:type="dxa"/>
            <w:vAlign w:val="bottom"/>
          </w:tcPr>
          <w:p>
            <w:pPr>
              <w:ind w:left="20"/>
              <w:spacing w:after="0" w:line="176" w:lineRule="exact"/>
              <w:rPr>
                <w:sz w:val="20"/>
                <w:szCs w:val="20"/>
                <w:color w:val="auto"/>
              </w:rPr>
            </w:pPr>
            <w:r>
              <w:rPr>
                <w:rFonts w:ascii="Arial" w:cs="Arial" w:eastAsia="Arial" w:hAnsi="Arial"/>
                <w:sz w:val="18"/>
                <w:szCs w:val="18"/>
                <w:color w:val="auto"/>
              </w:rPr>
              <w:t>Schedule of Assets (Held at End of Year) -</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9900" w:type="dxa"/>
            <w:vAlign w:val="bottom"/>
          </w:tcPr>
          <w:p>
            <w:pPr>
              <w:ind w:left="240"/>
              <w:spacing w:after="0"/>
              <w:rPr>
                <w:sz w:val="20"/>
                <w:szCs w:val="20"/>
                <w:color w:val="auto"/>
              </w:rPr>
            </w:pPr>
            <w:r>
              <w:rPr>
                <w:rFonts w:ascii="Arial" w:cs="Arial" w:eastAsia="Arial" w:hAnsi="Arial"/>
                <w:sz w:val="18"/>
                <w:szCs w:val="18"/>
                <w:color w:val="auto"/>
              </w:rPr>
              <w:t>The Savings Plan for Lilly Affiliate Employees in Puerto Rico</w:t>
            </w:r>
          </w:p>
        </w:tc>
        <w:tc>
          <w:tcPr>
            <w:tcW w:w="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900" w:type="dxa"/>
            <w:vAlign w:val="bottom"/>
          </w:tcPr>
          <w:p>
            <w:pPr>
              <w:ind w:left="20"/>
              <w:spacing w:after="0"/>
              <w:rPr>
                <w:sz w:val="20"/>
                <w:szCs w:val="20"/>
                <w:color w:val="auto"/>
              </w:rPr>
            </w:pPr>
            <w:r>
              <w:rPr>
                <w:rFonts w:ascii="Arial" w:cs="Arial" w:eastAsia="Arial" w:hAnsi="Arial"/>
                <w:sz w:val="18"/>
                <w:szCs w:val="18"/>
                <w:color w:val="auto"/>
              </w:rPr>
              <w:t>Signatures</w:t>
            </w: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9900" w:type="dxa"/>
            <w:vAlign w:val="bottom"/>
          </w:tcPr>
          <w:p>
            <w:pPr>
              <w:ind w:left="20"/>
              <w:spacing w:after="0"/>
              <w:rPr>
                <w:sz w:val="20"/>
                <w:szCs w:val="20"/>
                <w:color w:val="auto"/>
              </w:rPr>
            </w:pPr>
            <w:r>
              <w:rPr>
                <w:rFonts w:ascii="Arial" w:cs="Arial" w:eastAsia="Arial" w:hAnsi="Arial"/>
                <w:sz w:val="18"/>
                <w:szCs w:val="18"/>
                <w:color w:val="auto"/>
              </w:rPr>
              <w:t>Exhibit 23 Consent of Independent Registered Public Accounting Firm</w:t>
            </w: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360"/>
          </w:cols>
          <w:pgMar w:left="760" w:top="954" w:right="779" w:bottom="1440" w:gutter="0" w:footer="0" w:header="0"/>
        </w:sectPr>
      </w:pPr>
    </w:p>
    <w:bookmarkStart w:id="2" w:name="page3"/>
    <w:bookmarkEnd w:id="2"/>
    <w:p>
      <w:pPr>
        <w:jc w:val="center"/>
        <w:spacing w:after="0"/>
        <w:rPr>
          <w:sz w:val="20"/>
          <w:szCs w:val="20"/>
          <w:color w:val="auto"/>
        </w:rPr>
      </w:pPr>
      <w:r>
        <w:rPr>
          <w:rFonts w:ascii="Arial" w:cs="Arial" w:eastAsia="Arial" w:hAnsi="Arial"/>
          <w:sz w:val="25"/>
          <w:szCs w:val="25"/>
          <w:b w:val="1"/>
          <w:bCs w:val="1"/>
          <w:color w:val="auto"/>
        </w:rPr>
        <w:t>Report of Independent Registered Public Accounting Firm</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To the Plan Participants and the Employee Benefits Committee</w:t>
      </w: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Opinion on the Financial Statements</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We have audited each of the accompanying statements of net assets available for benefits of The Lilly Employee 401(k) Plan and The Savings Plan for Lilly Affiliate Employees in Puerto Rico (the Plans) as of December 31, 2020 and 2019, and the related statements of changes in net assets available for benefits for the year ended December 31, 2020, and the related notes (collectively referred to as the “financial statements”). In our opinion, the financial statements present fairly, in all material respects, the net assets available for benefits of the Plans at December 31, 2020 and 2019, and the changes in net assets available for benefits for the year ended December 31, 2020, in conformity with U.S. generally accepted accounting principles.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for Opinion</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Plans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spacing w:after="0" w:line="224" w:lineRule="auto"/>
        <w:rPr>
          <w:sz w:val="20"/>
          <w:szCs w:val="20"/>
          <w:color w:val="auto"/>
        </w:rPr>
      </w:pPr>
      <w:r>
        <w:rPr>
          <w:rFonts w:ascii="Arial" w:cs="Arial" w:eastAsia="Arial" w:hAnsi="Arial"/>
          <w:sz w:val="22"/>
          <w:szCs w:val="22"/>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Plans are not required to have, nor were we engaged to perform, an audit of their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203"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Supplemental Schedules</w:t>
      </w:r>
    </w:p>
    <w:p>
      <w:pPr>
        <w:spacing w:after="0" w:line="212"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The accompanying supplemental schedules of assets (held at end of year) as of December 31, 2020, have been subjected to audit procedures performed in conjunction with the audits of the Plans’ financial statements. The information in the supplemental schedules is the responsibility of the Plans’ management. Our audit procedures included determining whether the information reconciles to the financial statements or the underlying accounting and other records, as applicable, and performing procedures to test the completeness and accuracy of the information presented in the supplemental schedules. In forming our opinion on the information, we evaluated whether such information, including its form and content, is presented in conformity with the Department of Labor’s Rules and Regulations for Reporting and Disclosure under the Employee Retirement Income Security Act of 1974. In our opinion, the information is fairly stated, in all material respects, in relation to the financial statements as a whole.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62"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/s/ Ernst &amp; Young LLP</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We have served as the Plans’ auditor since at least 1990, but we are unable to determine the specific year.</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Indianapolis, Indiana</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June 24,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139"/>
          </w:cols>
          <w:pgMar w:left="320" w:top="1401" w:right="1440" w:bottom="1440" w:gutter="0" w:footer="0" w:header="0"/>
        </w:sectPr>
      </w:pPr>
    </w:p>
    <w:bookmarkStart w:id="4" w:name="page5"/>
    <w:bookmarkEnd w:id="4"/>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The Lilly Employee 401(k) Plan and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The Savings Plan for Lilly Affiliate Employees in Puerto Rico</w:t>
      </w: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Statements of Net Assets Available for Benefits</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ind w:right="370"/>
              <w:spacing w:after="0"/>
              <w:rPr>
                <w:sz w:val="20"/>
                <w:szCs w:val="20"/>
                <w:color w:val="auto"/>
              </w:rPr>
            </w:pPr>
            <w:r>
              <w:rPr>
                <w:rFonts w:ascii="Arial" w:cs="Arial" w:eastAsia="Arial" w:hAnsi="Arial"/>
                <w:sz w:val="18"/>
                <w:szCs w:val="18"/>
                <w:b w:val="1"/>
                <w:bCs w:val="1"/>
                <w:color w:val="auto"/>
              </w:rPr>
              <w:t>The Savings</w:t>
            </w:r>
          </w:p>
        </w:tc>
        <w:tc>
          <w:tcPr>
            <w:tcW w:w="0" w:type="dxa"/>
            <w:vAlign w:val="bottom"/>
          </w:tcPr>
          <w:p>
            <w:pPr>
              <w:spacing w:after="0"/>
              <w:rPr>
                <w:sz w:val="1"/>
                <w:szCs w:val="1"/>
                <w:color w:val="auto"/>
              </w:rPr>
            </w:pPr>
          </w:p>
        </w:tc>
      </w:tr>
      <w:tr>
        <w:trPr>
          <w:trHeight w:val="175"/>
        </w:trPr>
        <w:tc>
          <w:tcPr>
            <w:tcW w:w="5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The Lilly Employee</w:t>
            </w:r>
          </w:p>
        </w:tc>
        <w:tc>
          <w:tcPr>
            <w:tcW w:w="240" w:type="dxa"/>
            <w:vAlign w:val="bottom"/>
          </w:tcPr>
          <w:p>
            <w:pPr>
              <w:spacing w:after="0"/>
              <w:rPr>
                <w:sz w:val="15"/>
                <w:szCs w:val="15"/>
                <w:color w:val="auto"/>
              </w:rPr>
            </w:pPr>
          </w:p>
        </w:tc>
        <w:tc>
          <w:tcPr>
            <w:tcW w:w="1560" w:type="dxa"/>
            <w:vAlign w:val="bottom"/>
          </w:tcPr>
          <w:p>
            <w:pPr>
              <w:jc w:val="right"/>
              <w:ind w:right="310"/>
              <w:spacing w:after="0" w:line="176" w:lineRule="exact"/>
              <w:rPr>
                <w:sz w:val="20"/>
                <w:szCs w:val="20"/>
                <w:color w:val="auto"/>
              </w:rPr>
            </w:pPr>
            <w:r>
              <w:rPr>
                <w:rFonts w:ascii="Arial" w:cs="Arial" w:eastAsia="Arial" w:hAnsi="Arial"/>
                <w:sz w:val="18"/>
                <w:szCs w:val="18"/>
                <w:b w:val="1"/>
                <w:bCs w:val="1"/>
                <w:color w:val="auto"/>
              </w:rPr>
              <w:t>Plan for Lilly</w:t>
            </w:r>
          </w:p>
        </w:tc>
        <w:tc>
          <w:tcPr>
            <w:tcW w:w="0" w:type="dxa"/>
            <w:vAlign w:val="bottom"/>
          </w:tcPr>
          <w:p>
            <w:pPr>
              <w:spacing w:after="0"/>
              <w:rPr>
                <w:sz w:val="1"/>
                <w:szCs w:val="1"/>
                <w:color w:val="auto"/>
              </w:rPr>
            </w:pPr>
          </w:p>
        </w:tc>
      </w:tr>
      <w:tr>
        <w:trPr>
          <w:trHeight w:val="176"/>
        </w:trPr>
        <w:tc>
          <w:tcPr>
            <w:tcW w:w="5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2"/>
            <w:vMerge w:val="continue"/>
          </w:tcPr>
          <w:p>
            <w:pPr>
              <w:spacing w:after="0"/>
              <w:rPr>
                <w:sz w:val="15"/>
                <w:szCs w:val="15"/>
                <w:color w:val="auto"/>
              </w:rPr>
            </w:pPr>
          </w:p>
        </w:tc>
        <w:tc>
          <w:tcPr>
            <w:tcW w:w="1800" w:type="dxa"/>
            <w:vAlign w:val="bottom"/>
            <w:gridSpan w:val="2"/>
          </w:tcPr>
          <w:p>
            <w:pPr>
              <w:jc w:val="right"/>
              <w:spacing w:after="0" w:line="176" w:lineRule="exact"/>
              <w:rPr>
                <w:sz w:val="20"/>
                <w:szCs w:val="20"/>
                <w:color w:val="auto"/>
              </w:rPr>
            </w:pPr>
            <w:r>
              <w:rPr>
                <w:rFonts w:ascii="Arial" w:cs="Arial" w:eastAsia="Arial" w:hAnsi="Arial"/>
                <w:sz w:val="18"/>
                <w:szCs w:val="18"/>
                <w:b w:val="1"/>
                <w:bCs w:val="1"/>
                <w:color w:val="auto"/>
                <w:w w:val="91"/>
              </w:rPr>
              <w:t>Affiliate Employees in</w:t>
            </w:r>
          </w:p>
        </w:tc>
        <w:tc>
          <w:tcPr>
            <w:tcW w:w="0" w:type="dxa"/>
            <w:vAlign w:val="bottom"/>
          </w:tcPr>
          <w:p>
            <w:pPr>
              <w:spacing w:after="0"/>
              <w:rPr>
                <w:sz w:val="1"/>
                <w:szCs w:val="1"/>
                <w:color w:val="auto"/>
              </w:rPr>
            </w:pPr>
          </w:p>
        </w:tc>
      </w:tr>
      <w:tr>
        <w:trPr>
          <w:trHeight w:val="229"/>
        </w:trPr>
        <w:tc>
          <w:tcPr>
            <w:tcW w:w="516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9"/>
                <w:szCs w:val="19"/>
                <w:color w:val="auto"/>
              </w:rPr>
            </w:pPr>
          </w:p>
        </w:tc>
        <w:tc>
          <w:tcPr>
            <w:tcW w:w="2460" w:type="dxa"/>
            <w:vAlign w:val="bottom"/>
            <w:gridSpan w:val="2"/>
          </w:tcPr>
          <w:p>
            <w:pPr>
              <w:ind w:left="360"/>
              <w:spacing w:after="0"/>
              <w:rPr>
                <w:sz w:val="20"/>
                <w:szCs w:val="20"/>
                <w:color w:val="auto"/>
              </w:rPr>
            </w:pPr>
            <w:r>
              <w:rPr>
                <w:rFonts w:ascii="Arial" w:cs="Arial" w:eastAsia="Arial" w:hAnsi="Arial"/>
                <w:sz w:val="18"/>
                <w:szCs w:val="18"/>
                <w:b w:val="1"/>
                <w:bCs w:val="1"/>
                <w:color w:val="auto"/>
              </w:rPr>
              <w:t>401(k) Plan</w:t>
            </w:r>
          </w:p>
        </w:tc>
        <w:tc>
          <w:tcPr>
            <w:tcW w:w="240" w:type="dxa"/>
            <w:vAlign w:val="bottom"/>
          </w:tcPr>
          <w:p>
            <w:pPr>
              <w:spacing w:after="0"/>
              <w:rPr>
                <w:sz w:val="19"/>
                <w:szCs w:val="19"/>
                <w:color w:val="auto"/>
              </w:rPr>
            </w:pPr>
          </w:p>
        </w:tc>
        <w:tc>
          <w:tcPr>
            <w:tcW w:w="1560" w:type="dxa"/>
            <w:vAlign w:val="bottom"/>
          </w:tcPr>
          <w:p>
            <w:pPr>
              <w:jc w:val="right"/>
              <w:ind w:right="350"/>
              <w:spacing w:after="0"/>
              <w:rPr>
                <w:sz w:val="20"/>
                <w:szCs w:val="20"/>
                <w:color w:val="auto"/>
              </w:rPr>
            </w:pPr>
            <w:r>
              <w:rPr>
                <w:rFonts w:ascii="Arial" w:cs="Arial" w:eastAsia="Arial" w:hAnsi="Arial"/>
                <w:sz w:val="18"/>
                <w:szCs w:val="18"/>
                <w:b w:val="1"/>
                <w:bCs w:val="1"/>
                <w:color w:val="auto"/>
              </w:rPr>
              <w:t>Puerto Rico</w:t>
            </w:r>
          </w:p>
        </w:tc>
        <w:tc>
          <w:tcPr>
            <w:tcW w:w="0" w:type="dxa"/>
            <w:vAlign w:val="bottom"/>
          </w:tcPr>
          <w:p>
            <w:pPr>
              <w:spacing w:after="0"/>
              <w:rPr>
                <w:sz w:val="1"/>
                <w:szCs w:val="1"/>
                <w:color w:val="auto"/>
              </w:rPr>
            </w:pPr>
          </w:p>
        </w:tc>
      </w:tr>
      <w:tr>
        <w:trPr>
          <w:trHeight w:val="209"/>
        </w:trPr>
        <w:tc>
          <w:tcPr>
            <w:tcW w:w="516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160" w:type="dxa"/>
            <w:vAlign w:val="bottom"/>
          </w:tcPr>
          <w:p>
            <w:pPr>
              <w:spacing w:after="0" w:line="176" w:lineRule="exact"/>
              <w:rPr>
                <w:sz w:val="20"/>
                <w:szCs w:val="20"/>
                <w:color w:val="auto"/>
              </w:rPr>
            </w:pPr>
            <w:r>
              <w:rPr>
                <w:rFonts w:ascii="Arial" w:cs="Arial" w:eastAsia="Arial" w:hAnsi="Arial"/>
                <w:sz w:val="18"/>
                <w:szCs w:val="18"/>
                <w:color w:val="auto"/>
              </w:rPr>
              <w:t>Investments - Plan's interest in net assets of The Lilly Employee</w:t>
            </w: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Savings Plan Master Trust: (Notes 3 and 4)</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340"/>
              <w:spacing w:after="0"/>
              <w:rPr>
                <w:sz w:val="20"/>
                <w:szCs w:val="20"/>
                <w:color w:val="auto"/>
              </w:rPr>
            </w:pPr>
            <w:r>
              <w:rPr>
                <w:rFonts w:ascii="Arial" w:cs="Arial" w:eastAsia="Arial" w:hAnsi="Arial"/>
                <w:sz w:val="18"/>
                <w:szCs w:val="18"/>
                <w:color w:val="auto"/>
              </w:rPr>
              <w:t>Registered investment companies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469,333,868</w:t>
            </w:r>
          </w:p>
        </w:tc>
        <w:tc>
          <w:tcPr>
            <w:tcW w:w="7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7,524,318</w:t>
            </w:r>
          </w:p>
        </w:tc>
        <w:tc>
          <w:tcPr>
            <w:tcW w:w="0" w:type="dxa"/>
            <w:vAlign w:val="bottom"/>
          </w:tcPr>
          <w:p>
            <w:pPr>
              <w:spacing w:after="0"/>
              <w:rPr>
                <w:sz w:val="1"/>
                <w:szCs w:val="1"/>
                <w:color w:val="auto"/>
              </w:rPr>
            </w:pPr>
          </w:p>
        </w:tc>
      </w:tr>
      <w:tr>
        <w:trPr>
          <w:trHeight w:val="229"/>
        </w:trPr>
        <w:tc>
          <w:tcPr>
            <w:tcW w:w="5160" w:type="dxa"/>
            <w:vAlign w:val="bottom"/>
          </w:tcPr>
          <w:p>
            <w:pPr>
              <w:ind w:left="340"/>
              <w:spacing w:after="0"/>
              <w:rPr>
                <w:sz w:val="20"/>
                <w:szCs w:val="20"/>
                <w:color w:val="auto"/>
              </w:rPr>
            </w:pPr>
            <w:r>
              <w:rPr>
                <w:rFonts w:ascii="Arial" w:cs="Arial" w:eastAsia="Arial" w:hAnsi="Arial"/>
                <w:sz w:val="18"/>
                <w:szCs w:val="18"/>
                <w:color w:val="auto"/>
              </w:rPr>
              <w:t>Self-directed brokerage accounts</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253,162,659</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809,838</w:t>
            </w:r>
          </w:p>
        </w:tc>
        <w:tc>
          <w:tcPr>
            <w:tcW w:w="0" w:type="dxa"/>
            <w:vAlign w:val="bottom"/>
          </w:tcPr>
          <w:p>
            <w:pPr>
              <w:spacing w:after="0"/>
              <w:rPr>
                <w:sz w:val="1"/>
                <w:szCs w:val="1"/>
                <w:color w:val="auto"/>
              </w:rPr>
            </w:pPr>
          </w:p>
        </w:tc>
      </w:t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Eli Lilly and Company common stock</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914,181,590</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54,083,224</w:t>
            </w:r>
          </w:p>
        </w:tc>
        <w:tc>
          <w:tcPr>
            <w:tcW w:w="0" w:type="dxa"/>
            <w:vAlign w:val="bottom"/>
          </w:tcPr>
          <w:p>
            <w:pPr>
              <w:spacing w:after="0"/>
              <w:rPr>
                <w:sz w:val="1"/>
                <w:szCs w:val="1"/>
                <w:color w:val="auto"/>
              </w:rPr>
            </w:pPr>
          </w:p>
        </w:tc>
      </w:tr>
      <w:tr>
        <w:trPr>
          <w:trHeight w:val="229"/>
        </w:trPr>
        <w:tc>
          <w:tcPr>
            <w:tcW w:w="5160" w:type="dxa"/>
            <w:vAlign w:val="bottom"/>
          </w:tcPr>
          <w:p>
            <w:pPr>
              <w:ind w:left="340"/>
              <w:spacing w:after="0"/>
              <w:rPr>
                <w:sz w:val="20"/>
                <w:szCs w:val="20"/>
                <w:color w:val="auto"/>
              </w:rPr>
            </w:pPr>
            <w:r>
              <w:rPr>
                <w:rFonts w:ascii="Arial" w:cs="Arial" w:eastAsia="Arial" w:hAnsi="Arial"/>
                <w:sz w:val="18"/>
                <w:szCs w:val="18"/>
                <w:color w:val="auto"/>
              </w:rPr>
              <w:t>Interest in common/collective trusts</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5,524,474,139</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156,881,740</w:t>
            </w:r>
          </w:p>
        </w:tc>
        <w:tc>
          <w:tcPr>
            <w:tcW w:w="0" w:type="dxa"/>
            <w:vAlign w:val="bottom"/>
          </w:tcPr>
          <w:p>
            <w:pPr>
              <w:spacing w:after="0"/>
              <w:rPr>
                <w:sz w:val="1"/>
                <w:szCs w:val="1"/>
                <w:color w:val="auto"/>
              </w:rPr>
            </w:pPr>
          </w:p>
        </w:tc>
      </w:t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Synthetic GICs, at contract value</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932,791,932</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50,158,974</w:t>
            </w:r>
          </w:p>
        </w:tc>
        <w:tc>
          <w:tcPr>
            <w:tcW w:w="0" w:type="dxa"/>
            <w:vAlign w:val="bottom"/>
          </w:tcPr>
          <w:p>
            <w:pPr>
              <w:spacing w:after="0"/>
              <w:rPr>
                <w:sz w:val="1"/>
                <w:szCs w:val="1"/>
                <w:color w:val="auto"/>
              </w:rPr>
            </w:pPr>
          </w:p>
        </w:tc>
      </w:t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Other common stock</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96,147,184</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2,577,312</w:t>
            </w:r>
          </w:p>
        </w:tc>
        <w:tc>
          <w:tcPr>
            <w:tcW w:w="0" w:type="dxa"/>
            <w:vAlign w:val="bottom"/>
          </w:tcPr>
          <w:p>
            <w:pPr>
              <w:spacing w:after="0"/>
              <w:rPr>
                <w:sz w:val="1"/>
                <w:szCs w:val="1"/>
                <w:color w:val="auto"/>
              </w:rPr>
            </w:pPr>
          </w:p>
        </w:tc>
      </w:t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Accrued income and pending trades - Sales</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771,552</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11,493</w:t>
            </w:r>
          </w:p>
        </w:tc>
        <w:tc>
          <w:tcPr>
            <w:tcW w:w="0" w:type="dxa"/>
            <w:vAlign w:val="bottom"/>
          </w:tcPr>
          <w:p>
            <w:pPr>
              <w:spacing w:after="0"/>
              <w:rPr>
                <w:sz w:val="1"/>
                <w:szCs w:val="1"/>
                <w:color w:val="auto"/>
              </w:rPr>
            </w:pPr>
          </w:p>
        </w:tc>
      </w:t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Accrued expenses and pending trades - Purchases</w:t>
            </w: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(3,643,027)</w:t>
            </w:r>
          </w:p>
        </w:tc>
        <w:tc>
          <w:tcPr>
            <w:tcW w:w="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(107,392)</w:t>
            </w:r>
          </w:p>
        </w:tc>
        <w:tc>
          <w:tcPr>
            <w:tcW w:w="0" w:type="dxa"/>
            <w:vAlign w:val="bottom"/>
          </w:tcPr>
          <w:p>
            <w:pPr>
              <w:spacing w:after="0"/>
              <w:rPr>
                <w:sz w:val="1"/>
                <w:szCs w:val="1"/>
                <w:color w:val="auto"/>
              </w:rPr>
            </w:pPr>
          </w:p>
        </w:tc>
      </w:tr>
      <w:tr>
        <w:trPr>
          <w:trHeight w:val="372"/>
        </w:trPr>
        <w:tc>
          <w:tcPr>
            <w:tcW w:w="5160" w:type="dxa"/>
            <w:vAlign w:val="bottom"/>
          </w:tcPr>
          <w:p>
            <w:pPr>
              <w:spacing w:after="0"/>
              <w:rPr>
                <w:sz w:val="20"/>
                <w:szCs w:val="20"/>
                <w:color w:val="auto"/>
              </w:rPr>
            </w:pPr>
            <w:r>
              <w:rPr>
                <w:rFonts w:ascii="Arial" w:cs="Arial" w:eastAsia="Arial" w:hAnsi="Arial"/>
                <w:sz w:val="18"/>
                <w:szCs w:val="18"/>
                <w:color w:val="auto"/>
              </w:rPr>
              <w:t>Plan's total interest in The Lilly Employee</w:t>
            </w:r>
          </w:p>
        </w:tc>
        <w:tc>
          <w:tcPr>
            <w:tcW w:w="120" w:type="dxa"/>
            <w:vAlign w:val="bottom"/>
          </w:tcPr>
          <w:p>
            <w:pPr>
              <w:spacing w:after="0"/>
              <w:rPr>
                <w:sz w:val="24"/>
                <w:szCs w:val="24"/>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8,187,219,897</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271,939,507</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Savings Plan Master Trust</w:t>
            </w:r>
          </w:p>
        </w:tc>
        <w:tc>
          <w:tcPr>
            <w:tcW w:w="120" w:type="dxa"/>
            <w:vAlign w:val="bottom"/>
          </w:tcPr>
          <w:p>
            <w:pPr>
              <w:spacing w:after="0"/>
              <w:rPr>
                <w:sz w:val="20"/>
                <w:szCs w:val="20"/>
                <w:color w:val="auto"/>
              </w:rPr>
            </w:pPr>
          </w:p>
        </w:tc>
        <w:tc>
          <w:tcPr>
            <w:tcW w:w="1680" w:type="dxa"/>
            <w:vAlign w:val="bottom"/>
            <w:vMerge w:val="continue"/>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4"/>
        </w:trPr>
        <w:tc>
          <w:tcPr>
            <w:tcW w:w="5160" w:type="dxa"/>
            <w:vAlign w:val="bottom"/>
          </w:tcPr>
          <w:p>
            <w:pPr>
              <w:spacing w:after="0"/>
              <w:rPr>
                <w:sz w:val="20"/>
                <w:szCs w:val="20"/>
                <w:color w:val="auto"/>
              </w:rPr>
            </w:pPr>
            <w:r>
              <w:rPr>
                <w:rFonts w:ascii="Arial" w:cs="Arial" w:eastAsia="Arial" w:hAnsi="Arial"/>
                <w:sz w:val="18"/>
                <w:szCs w:val="18"/>
                <w:color w:val="auto"/>
              </w:rPr>
              <w:t>Receivables:</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Employer contribution</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11,788,178</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355,467</w:t>
            </w:r>
          </w:p>
        </w:tc>
        <w:tc>
          <w:tcPr>
            <w:tcW w:w="0" w:type="dxa"/>
            <w:vAlign w:val="bottom"/>
          </w:tcPr>
          <w:p>
            <w:pPr>
              <w:spacing w:after="0"/>
              <w:rPr>
                <w:sz w:val="1"/>
                <w:szCs w:val="1"/>
                <w:color w:val="auto"/>
              </w:rPr>
            </w:pPr>
          </w:p>
        </w:tc>
      </w:t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Notes receivable from participants</w:t>
            </w: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23,375,326</w:t>
            </w:r>
          </w:p>
        </w:tc>
        <w:tc>
          <w:tcPr>
            <w:tcW w:w="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2,184,930</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Total Receivables</w:t>
            </w: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35,163,504</w:t>
            </w:r>
          </w:p>
        </w:tc>
        <w:tc>
          <w:tcPr>
            <w:tcW w:w="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2,540,397</w:t>
            </w:r>
          </w:p>
        </w:tc>
        <w:tc>
          <w:tcPr>
            <w:tcW w:w="0" w:type="dxa"/>
            <w:vAlign w:val="bottom"/>
          </w:tcPr>
          <w:p>
            <w:pPr>
              <w:spacing w:after="0"/>
              <w:rPr>
                <w:sz w:val="1"/>
                <w:szCs w:val="1"/>
                <w:color w:val="auto"/>
              </w:rPr>
            </w:pPr>
          </w:p>
        </w:tc>
      </w:tr>
      <w:tr>
        <w:trPr>
          <w:trHeight w:val="480"/>
        </w:trPr>
        <w:tc>
          <w:tcPr>
            <w:tcW w:w="516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8,222,383,401</w:t>
            </w:r>
          </w:p>
        </w:tc>
        <w:tc>
          <w:tcPr>
            <w:tcW w:w="780" w:type="dxa"/>
            <w:vAlign w:val="bottom"/>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274,479,904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540"/>
          </w:cols>
          <w:pgMar w:left="1180" w:top="1440" w:right="117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The Lilly Employee 401(k) Plan and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The Savings Plan for Lilly Affiliate Employees in Puerto Rico</w:t>
      </w: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Statements of Net Assets Available for Benefits</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ind w:right="370"/>
              <w:spacing w:after="0"/>
              <w:rPr>
                <w:sz w:val="20"/>
                <w:szCs w:val="20"/>
                <w:color w:val="auto"/>
              </w:rPr>
            </w:pPr>
            <w:r>
              <w:rPr>
                <w:rFonts w:ascii="Arial" w:cs="Arial" w:eastAsia="Arial" w:hAnsi="Arial"/>
                <w:sz w:val="18"/>
                <w:szCs w:val="18"/>
                <w:b w:val="1"/>
                <w:bCs w:val="1"/>
                <w:color w:val="auto"/>
              </w:rPr>
              <w:t>The Savings</w:t>
            </w:r>
          </w:p>
        </w:tc>
        <w:tc>
          <w:tcPr>
            <w:tcW w:w="0" w:type="dxa"/>
            <w:vAlign w:val="bottom"/>
          </w:tcPr>
          <w:p>
            <w:pPr>
              <w:spacing w:after="0"/>
              <w:rPr>
                <w:sz w:val="1"/>
                <w:szCs w:val="1"/>
                <w:color w:val="auto"/>
              </w:rPr>
            </w:pPr>
          </w:p>
        </w:tc>
      </w:tr>
      <w:tr>
        <w:trPr>
          <w:trHeight w:val="176"/>
        </w:trPr>
        <w:tc>
          <w:tcPr>
            <w:tcW w:w="5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The Lilly Employee</w:t>
            </w:r>
          </w:p>
        </w:tc>
        <w:tc>
          <w:tcPr>
            <w:tcW w:w="240" w:type="dxa"/>
            <w:vAlign w:val="bottom"/>
          </w:tcPr>
          <w:p>
            <w:pPr>
              <w:spacing w:after="0"/>
              <w:rPr>
                <w:sz w:val="15"/>
                <w:szCs w:val="15"/>
                <w:color w:val="auto"/>
              </w:rPr>
            </w:pPr>
          </w:p>
        </w:tc>
        <w:tc>
          <w:tcPr>
            <w:tcW w:w="1560" w:type="dxa"/>
            <w:vAlign w:val="bottom"/>
          </w:tcPr>
          <w:p>
            <w:pPr>
              <w:jc w:val="right"/>
              <w:ind w:right="310"/>
              <w:spacing w:after="0" w:line="176" w:lineRule="exact"/>
              <w:rPr>
                <w:sz w:val="20"/>
                <w:szCs w:val="20"/>
                <w:color w:val="auto"/>
              </w:rPr>
            </w:pPr>
            <w:r>
              <w:rPr>
                <w:rFonts w:ascii="Arial" w:cs="Arial" w:eastAsia="Arial" w:hAnsi="Arial"/>
                <w:sz w:val="18"/>
                <w:szCs w:val="18"/>
                <w:b w:val="1"/>
                <w:bCs w:val="1"/>
                <w:color w:val="auto"/>
              </w:rPr>
              <w:t>Plan for Lilly</w:t>
            </w:r>
          </w:p>
        </w:tc>
        <w:tc>
          <w:tcPr>
            <w:tcW w:w="0" w:type="dxa"/>
            <w:vAlign w:val="bottom"/>
          </w:tcPr>
          <w:p>
            <w:pPr>
              <w:spacing w:after="0"/>
              <w:rPr>
                <w:sz w:val="1"/>
                <w:szCs w:val="1"/>
                <w:color w:val="auto"/>
              </w:rPr>
            </w:pPr>
          </w:p>
        </w:tc>
      </w:tr>
      <w:tr>
        <w:trPr>
          <w:trHeight w:val="175"/>
        </w:trPr>
        <w:tc>
          <w:tcPr>
            <w:tcW w:w="5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2"/>
            <w:vMerge w:val="continue"/>
          </w:tcPr>
          <w:p>
            <w:pPr>
              <w:spacing w:after="0"/>
              <w:rPr>
                <w:sz w:val="15"/>
                <w:szCs w:val="15"/>
                <w:color w:val="auto"/>
              </w:rPr>
            </w:pPr>
          </w:p>
        </w:tc>
        <w:tc>
          <w:tcPr>
            <w:tcW w:w="1800" w:type="dxa"/>
            <w:vAlign w:val="bottom"/>
            <w:gridSpan w:val="2"/>
          </w:tcPr>
          <w:p>
            <w:pPr>
              <w:jc w:val="right"/>
              <w:spacing w:after="0" w:line="176" w:lineRule="exact"/>
              <w:rPr>
                <w:sz w:val="20"/>
                <w:szCs w:val="20"/>
                <w:color w:val="auto"/>
              </w:rPr>
            </w:pPr>
            <w:r>
              <w:rPr>
                <w:rFonts w:ascii="Arial" w:cs="Arial" w:eastAsia="Arial" w:hAnsi="Arial"/>
                <w:sz w:val="18"/>
                <w:szCs w:val="18"/>
                <w:b w:val="1"/>
                <w:bCs w:val="1"/>
                <w:color w:val="auto"/>
                <w:w w:val="91"/>
              </w:rPr>
              <w:t>Affiliate Employees in</w:t>
            </w:r>
          </w:p>
        </w:tc>
        <w:tc>
          <w:tcPr>
            <w:tcW w:w="0" w:type="dxa"/>
            <w:vAlign w:val="bottom"/>
          </w:tcPr>
          <w:p>
            <w:pPr>
              <w:spacing w:after="0"/>
              <w:rPr>
                <w:sz w:val="1"/>
                <w:szCs w:val="1"/>
                <w:color w:val="auto"/>
              </w:rPr>
            </w:pPr>
          </w:p>
        </w:tc>
      </w:tr>
      <w:tr>
        <w:trPr>
          <w:trHeight w:val="230"/>
        </w:trPr>
        <w:tc>
          <w:tcPr>
            <w:tcW w:w="516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9"/>
                <w:szCs w:val="19"/>
                <w:color w:val="auto"/>
              </w:rPr>
            </w:pPr>
          </w:p>
        </w:tc>
        <w:tc>
          <w:tcPr>
            <w:tcW w:w="2460" w:type="dxa"/>
            <w:vAlign w:val="bottom"/>
            <w:gridSpan w:val="2"/>
          </w:tcPr>
          <w:p>
            <w:pPr>
              <w:ind w:left="360"/>
              <w:spacing w:after="0"/>
              <w:rPr>
                <w:sz w:val="20"/>
                <w:szCs w:val="20"/>
                <w:color w:val="auto"/>
              </w:rPr>
            </w:pPr>
            <w:r>
              <w:rPr>
                <w:rFonts w:ascii="Arial" w:cs="Arial" w:eastAsia="Arial" w:hAnsi="Arial"/>
                <w:sz w:val="18"/>
                <w:szCs w:val="18"/>
                <w:b w:val="1"/>
                <w:bCs w:val="1"/>
                <w:color w:val="auto"/>
              </w:rPr>
              <w:t>401(k) Plan</w:t>
            </w:r>
          </w:p>
        </w:tc>
        <w:tc>
          <w:tcPr>
            <w:tcW w:w="240" w:type="dxa"/>
            <w:vAlign w:val="bottom"/>
          </w:tcPr>
          <w:p>
            <w:pPr>
              <w:spacing w:after="0"/>
              <w:rPr>
                <w:sz w:val="19"/>
                <w:szCs w:val="19"/>
                <w:color w:val="auto"/>
              </w:rPr>
            </w:pPr>
          </w:p>
        </w:tc>
        <w:tc>
          <w:tcPr>
            <w:tcW w:w="1560" w:type="dxa"/>
            <w:vAlign w:val="bottom"/>
          </w:tcPr>
          <w:p>
            <w:pPr>
              <w:jc w:val="right"/>
              <w:ind w:right="350"/>
              <w:spacing w:after="0"/>
              <w:rPr>
                <w:sz w:val="20"/>
                <w:szCs w:val="20"/>
                <w:color w:val="auto"/>
              </w:rPr>
            </w:pPr>
            <w:r>
              <w:rPr>
                <w:rFonts w:ascii="Arial" w:cs="Arial" w:eastAsia="Arial" w:hAnsi="Arial"/>
                <w:sz w:val="18"/>
                <w:szCs w:val="18"/>
                <w:b w:val="1"/>
                <w:bCs w:val="1"/>
                <w:color w:val="auto"/>
              </w:rPr>
              <w:t>Puerto Rico</w:t>
            </w:r>
          </w:p>
        </w:tc>
        <w:tc>
          <w:tcPr>
            <w:tcW w:w="0" w:type="dxa"/>
            <w:vAlign w:val="bottom"/>
          </w:tcPr>
          <w:p>
            <w:pPr>
              <w:spacing w:after="0"/>
              <w:rPr>
                <w:sz w:val="1"/>
                <w:szCs w:val="1"/>
                <w:color w:val="auto"/>
              </w:rPr>
            </w:pPr>
          </w:p>
        </w:tc>
      </w:tr>
      <w:tr>
        <w:trPr>
          <w:trHeight w:val="209"/>
        </w:trPr>
        <w:tc>
          <w:tcPr>
            <w:tcW w:w="516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160" w:type="dxa"/>
            <w:vAlign w:val="bottom"/>
          </w:tcPr>
          <w:p>
            <w:pPr>
              <w:spacing w:after="0" w:line="176" w:lineRule="exact"/>
              <w:rPr>
                <w:sz w:val="20"/>
                <w:szCs w:val="20"/>
                <w:color w:val="auto"/>
              </w:rPr>
            </w:pPr>
            <w:r>
              <w:rPr>
                <w:rFonts w:ascii="Arial" w:cs="Arial" w:eastAsia="Arial" w:hAnsi="Arial"/>
                <w:sz w:val="18"/>
                <w:szCs w:val="18"/>
                <w:color w:val="auto"/>
              </w:rPr>
              <w:t>Investments - Plan's interest in net assets of The Lilly Employee</w:t>
            </w: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Savings Plan Master Trust: (Notes 3 and 4)</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Registered investment companies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290,614,672</w:t>
            </w:r>
          </w:p>
        </w:tc>
        <w:tc>
          <w:tcPr>
            <w:tcW w:w="7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4,003,566</w:t>
            </w:r>
          </w:p>
        </w:tc>
        <w:tc>
          <w:tcPr>
            <w:tcW w:w="0" w:type="dxa"/>
            <w:vAlign w:val="bottom"/>
          </w:tcPr>
          <w:p>
            <w:pPr>
              <w:spacing w:after="0"/>
              <w:rPr>
                <w:sz w:val="1"/>
                <w:szCs w:val="1"/>
                <w:color w:val="auto"/>
              </w:rPr>
            </w:pPr>
          </w:p>
        </w:tc>
      </w:t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Self-directed brokerage accounts</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219,935,732</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589,103</w:t>
            </w:r>
          </w:p>
        </w:tc>
        <w:tc>
          <w:tcPr>
            <w:tcW w:w="0" w:type="dxa"/>
            <w:vAlign w:val="bottom"/>
          </w:tcPr>
          <w:p>
            <w:pPr>
              <w:spacing w:after="0"/>
              <w:rPr>
                <w:sz w:val="1"/>
                <w:szCs w:val="1"/>
                <w:color w:val="auto"/>
              </w:rPr>
            </w:pPr>
          </w:p>
        </w:tc>
      </w:t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Eli Lilly and Company common stock</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766,793,420</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45,583,187</w:t>
            </w:r>
          </w:p>
        </w:tc>
        <w:tc>
          <w:tcPr>
            <w:tcW w:w="0" w:type="dxa"/>
            <w:vAlign w:val="bottom"/>
          </w:tcPr>
          <w:p>
            <w:pPr>
              <w:spacing w:after="0"/>
              <w:rPr>
                <w:sz w:val="1"/>
                <w:szCs w:val="1"/>
                <w:color w:val="auto"/>
              </w:rPr>
            </w:pPr>
          </w:p>
        </w:tc>
      </w:tr>
      <w:tr>
        <w:trPr>
          <w:trHeight w:val="229"/>
        </w:trPr>
        <w:tc>
          <w:tcPr>
            <w:tcW w:w="5160" w:type="dxa"/>
            <w:vAlign w:val="bottom"/>
          </w:tcPr>
          <w:p>
            <w:pPr>
              <w:ind w:left="340"/>
              <w:spacing w:after="0"/>
              <w:rPr>
                <w:sz w:val="20"/>
                <w:szCs w:val="20"/>
                <w:color w:val="auto"/>
              </w:rPr>
            </w:pPr>
            <w:r>
              <w:rPr>
                <w:rFonts w:ascii="Arial" w:cs="Arial" w:eastAsia="Arial" w:hAnsi="Arial"/>
                <w:sz w:val="18"/>
                <w:szCs w:val="18"/>
                <w:color w:val="auto"/>
              </w:rPr>
              <w:t>Interest in common/collective trusts</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4,961,376,162</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147,208,353</w:t>
            </w:r>
          </w:p>
        </w:tc>
        <w:tc>
          <w:tcPr>
            <w:tcW w:w="0" w:type="dxa"/>
            <w:vAlign w:val="bottom"/>
          </w:tcPr>
          <w:p>
            <w:pPr>
              <w:spacing w:after="0"/>
              <w:rPr>
                <w:sz w:val="1"/>
                <w:szCs w:val="1"/>
                <w:color w:val="auto"/>
              </w:rPr>
            </w:pPr>
          </w:p>
        </w:tc>
      </w:t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Synthetic GICs, at contract value</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852,877,120</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42,624,857</w:t>
            </w:r>
          </w:p>
        </w:tc>
        <w:tc>
          <w:tcPr>
            <w:tcW w:w="0" w:type="dxa"/>
            <w:vAlign w:val="bottom"/>
          </w:tcPr>
          <w:p>
            <w:pPr>
              <w:spacing w:after="0"/>
              <w:rPr>
                <w:sz w:val="1"/>
                <w:szCs w:val="1"/>
                <w:color w:val="auto"/>
              </w:rPr>
            </w:pPr>
          </w:p>
        </w:tc>
      </w:t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Other common stock</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76,166,068</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2,214,670</w:t>
            </w:r>
          </w:p>
        </w:tc>
        <w:tc>
          <w:tcPr>
            <w:tcW w:w="0" w:type="dxa"/>
            <w:vAlign w:val="bottom"/>
          </w:tcPr>
          <w:p>
            <w:pPr>
              <w:spacing w:after="0"/>
              <w:rPr>
                <w:sz w:val="1"/>
                <w:szCs w:val="1"/>
                <w:color w:val="auto"/>
              </w:rPr>
            </w:pPr>
          </w:p>
        </w:tc>
      </w:t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Accrued income and pending trades - Sales</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17,368,735</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279,965</w:t>
            </w:r>
          </w:p>
        </w:tc>
        <w:tc>
          <w:tcPr>
            <w:tcW w:w="0" w:type="dxa"/>
            <w:vAlign w:val="bottom"/>
          </w:tcPr>
          <w:p>
            <w:pPr>
              <w:spacing w:after="0"/>
              <w:rPr>
                <w:sz w:val="1"/>
                <w:szCs w:val="1"/>
                <w:color w:val="auto"/>
              </w:rPr>
            </w:pPr>
          </w:p>
        </w:tc>
      </w:t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Accrued expenses and pending trades - Purchases</w:t>
            </w: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(2,411,768)</w:t>
            </w:r>
          </w:p>
        </w:tc>
        <w:tc>
          <w:tcPr>
            <w:tcW w:w="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(74,598)</w:t>
            </w:r>
          </w:p>
        </w:tc>
        <w:tc>
          <w:tcPr>
            <w:tcW w:w="0" w:type="dxa"/>
            <w:vAlign w:val="bottom"/>
          </w:tcPr>
          <w:p>
            <w:pPr>
              <w:spacing w:after="0"/>
              <w:rPr>
                <w:sz w:val="1"/>
                <w:szCs w:val="1"/>
                <w:color w:val="auto"/>
              </w:rPr>
            </w:pPr>
          </w:p>
        </w:tc>
      </w:tr>
      <w:tr>
        <w:trPr>
          <w:trHeight w:val="372"/>
        </w:trPr>
        <w:tc>
          <w:tcPr>
            <w:tcW w:w="5160" w:type="dxa"/>
            <w:vAlign w:val="bottom"/>
          </w:tcPr>
          <w:p>
            <w:pPr>
              <w:spacing w:after="0"/>
              <w:rPr>
                <w:sz w:val="20"/>
                <w:szCs w:val="20"/>
                <w:color w:val="auto"/>
              </w:rPr>
            </w:pPr>
            <w:r>
              <w:rPr>
                <w:rFonts w:ascii="Arial" w:cs="Arial" w:eastAsia="Arial" w:hAnsi="Arial"/>
                <w:sz w:val="18"/>
                <w:szCs w:val="18"/>
                <w:color w:val="auto"/>
              </w:rPr>
              <w:t>Plan's total interest in The Lilly Employee</w:t>
            </w:r>
          </w:p>
        </w:tc>
        <w:tc>
          <w:tcPr>
            <w:tcW w:w="120" w:type="dxa"/>
            <w:vAlign w:val="bottom"/>
          </w:tcPr>
          <w:p>
            <w:pPr>
              <w:spacing w:after="0"/>
              <w:rPr>
                <w:sz w:val="24"/>
                <w:szCs w:val="24"/>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7,182,720,141</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242,429,103</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Savings Plan Master Trust</w:t>
            </w:r>
          </w:p>
        </w:tc>
        <w:tc>
          <w:tcPr>
            <w:tcW w:w="120" w:type="dxa"/>
            <w:vAlign w:val="bottom"/>
          </w:tcPr>
          <w:p>
            <w:pPr>
              <w:spacing w:after="0"/>
              <w:rPr>
                <w:sz w:val="20"/>
                <w:szCs w:val="20"/>
                <w:color w:val="auto"/>
              </w:rPr>
            </w:pPr>
          </w:p>
        </w:tc>
        <w:tc>
          <w:tcPr>
            <w:tcW w:w="1680" w:type="dxa"/>
            <w:vAlign w:val="bottom"/>
            <w:vMerge w:val="continue"/>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4"/>
        </w:trPr>
        <w:tc>
          <w:tcPr>
            <w:tcW w:w="5160" w:type="dxa"/>
            <w:vAlign w:val="bottom"/>
          </w:tcPr>
          <w:p>
            <w:pPr>
              <w:spacing w:after="0"/>
              <w:rPr>
                <w:sz w:val="20"/>
                <w:szCs w:val="20"/>
                <w:color w:val="auto"/>
              </w:rPr>
            </w:pPr>
            <w:r>
              <w:rPr>
                <w:rFonts w:ascii="Arial" w:cs="Arial" w:eastAsia="Arial" w:hAnsi="Arial"/>
                <w:sz w:val="18"/>
                <w:szCs w:val="18"/>
                <w:color w:val="auto"/>
              </w:rPr>
              <w:t>Receivables:</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Employer contribution</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8,049,550</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342,963</w:t>
            </w:r>
          </w:p>
        </w:tc>
        <w:tc>
          <w:tcPr>
            <w:tcW w:w="0" w:type="dxa"/>
            <w:vAlign w:val="bottom"/>
          </w:tcPr>
          <w:p>
            <w:pPr>
              <w:spacing w:after="0"/>
              <w:rPr>
                <w:sz w:val="1"/>
                <w:szCs w:val="1"/>
                <w:color w:val="auto"/>
              </w:rPr>
            </w:pPr>
          </w:p>
        </w:tc>
      </w:t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Notes receivable from participants</w:t>
            </w: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25,524,186</w:t>
            </w:r>
          </w:p>
        </w:tc>
        <w:tc>
          <w:tcPr>
            <w:tcW w:w="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2,740,636</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Total Receivables</w:t>
            </w: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33,573,736</w:t>
            </w:r>
          </w:p>
        </w:tc>
        <w:tc>
          <w:tcPr>
            <w:tcW w:w="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3,083,599</w:t>
            </w:r>
          </w:p>
        </w:tc>
        <w:tc>
          <w:tcPr>
            <w:tcW w:w="0" w:type="dxa"/>
            <w:vAlign w:val="bottom"/>
          </w:tcPr>
          <w:p>
            <w:pPr>
              <w:spacing w:after="0"/>
              <w:rPr>
                <w:sz w:val="1"/>
                <w:szCs w:val="1"/>
                <w:color w:val="auto"/>
              </w:rPr>
            </w:pPr>
          </w:p>
        </w:tc>
      </w:tr>
      <w:tr>
        <w:trPr>
          <w:trHeight w:val="480"/>
        </w:trPr>
        <w:tc>
          <w:tcPr>
            <w:tcW w:w="516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7,216,293,877</w:t>
            </w:r>
          </w:p>
        </w:tc>
        <w:tc>
          <w:tcPr>
            <w:tcW w:w="780" w:type="dxa"/>
            <w:vAlign w:val="bottom"/>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245,512,702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540"/>
          </w:cols>
          <w:pgMar w:left="1180" w:top="1440" w:right="11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22"/>
          <w:szCs w:val="22"/>
          <w:color w:val="auto"/>
        </w:rPr>
        <w:t>The Lilly Employee 401(k) Plan and</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The Savings Plan for Lilly Affiliate Employees in Puerto Rico</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Statements of Changes in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1079"/>
        <w:spacing w:after="0"/>
        <w:rPr>
          <w:sz w:val="20"/>
          <w:szCs w:val="20"/>
          <w:color w:val="auto"/>
        </w:rPr>
      </w:pPr>
      <w:r>
        <w:rPr>
          <w:rFonts w:ascii="Arial" w:cs="Arial" w:eastAsia="Arial" w:hAnsi="Arial"/>
          <w:sz w:val="20"/>
          <w:szCs w:val="20"/>
          <w:b w:val="1"/>
          <w:bCs w:val="1"/>
          <w:color w:val="auto"/>
        </w:rPr>
        <w:t>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13970</wp:posOffset>
            </wp:positionV>
            <wp:extent cx="24174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ectPr>
          <w:pgSz w:w="11900" w:h="16838" w:orient="portrait"/>
          <w:cols w:equalWidth="0" w:num="1">
            <w:col w:w="9019"/>
          </w:cols>
          <w:pgMar w:left="1440" w:top="125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Additions:</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Contributions:</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Participants</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Employer</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Contributions</w:t>
      </w:r>
    </w:p>
    <w:p>
      <w:pPr>
        <w:spacing w:after="0" w:line="185" w:lineRule="exact"/>
        <w:rPr>
          <w:sz w:val="20"/>
          <w:szCs w:val="20"/>
          <w:color w:val="auto"/>
        </w:rPr>
      </w:pPr>
    </w:p>
    <w:p>
      <w:pPr>
        <w:jc w:val="both"/>
        <w:ind w:left="680" w:right="80"/>
        <w:spacing w:after="0" w:line="224" w:lineRule="auto"/>
        <w:rPr>
          <w:sz w:val="20"/>
          <w:szCs w:val="20"/>
          <w:color w:val="auto"/>
        </w:rPr>
      </w:pPr>
      <w:r>
        <w:rPr>
          <w:rFonts w:ascii="Arial" w:cs="Arial" w:eastAsia="Arial" w:hAnsi="Arial"/>
          <w:sz w:val="18"/>
          <w:szCs w:val="18"/>
          <w:color w:val="auto"/>
        </w:rPr>
        <w:t>Interest in The Lilly Employee Savings Plan Master Trust investment income, net of administrative fees (Note 3)</w:t>
      </w:r>
    </w:p>
    <w:p>
      <w:pPr>
        <w:spacing w:after="0" w:line="19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Interest income on notes receivable from participants</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Additions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Deductions:</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Participant withdrawals</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Administrative expenses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Deductions</w:t>
      </w:r>
    </w:p>
    <w:p>
      <w:pPr>
        <w:spacing w:after="0" w:line="3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Increase</w:t>
      </w:r>
    </w:p>
    <w:p>
      <w:pPr>
        <w:spacing w:after="0" w:line="225" w:lineRule="exact"/>
        <w:rPr>
          <w:sz w:val="20"/>
          <w:szCs w:val="20"/>
          <w:color w:val="auto"/>
        </w:rPr>
      </w:pPr>
    </w:p>
    <w:p>
      <w:pPr>
        <w:ind w:left="520" w:right="220"/>
        <w:spacing w:after="0" w:line="412" w:lineRule="auto"/>
        <w:rPr>
          <w:sz w:val="20"/>
          <w:szCs w:val="20"/>
          <w:color w:val="auto"/>
        </w:rPr>
      </w:pPr>
      <w:r>
        <w:rPr>
          <w:rFonts w:ascii="Arial" w:cs="Arial" w:eastAsia="Arial" w:hAnsi="Arial"/>
          <w:sz w:val="16"/>
          <w:szCs w:val="16"/>
          <w:color w:val="auto"/>
        </w:rPr>
        <w:t>Net assets available for benefits at beginning of year Net assets available for benefits at end of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8"/>
              </w:rPr>
              <w:t>The Savings</w:t>
            </w:r>
          </w:p>
        </w:tc>
        <w:tc>
          <w:tcPr>
            <w:tcW w:w="0" w:type="dxa"/>
            <w:vAlign w:val="bottom"/>
          </w:tcPr>
          <w:p>
            <w:pPr>
              <w:spacing w:after="0"/>
              <w:rPr>
                <w:sz w:val="1"/>
                <w:szCs w:val="1"/>
                <w:color w:val="auto"/>
              </w:rPr>
            </w:pPr>
          </w:p>
        </w:tc>
      </w:tr>
      <w:tr>
        <w:trPr>
          <w:trHeight w:val="175"/>
        </w:trPr>
        <w:tc>
          <w:tcPr>
            <w:tcW w:w="15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The Lilly Employee</w:t>
            </w:r>
          </w:p>
        </w:tc>
        <w:tc>
          <w:tcPr>
            <w:tcW w:w="70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4"/>
              </w:rPr>
              <w:t>Plan for Lilly</w:t>
            </w:r>
          </w:p>
        </w:tc>
        <w:tc>
          <w:tcPr>
            <w:tcW w:w="0" w:type="dxa"/>
            <w:vAlign w:val="bottom"/>
          </w:tcPr>
          <w:p>
            <w:pPr>
              <w:spacing w:after="0"/>
              <w:rPr>
                <w:sz w:val="1"/>
                <w:szCs w:val="1"/>
                <w:color w:val="auto"/>
              </w:rPr>
            </w:pPr>
          </w:p>
        </w:tc>
      </w:tr>
      <w:tr>
        <w:trPr>
          <w:trHeight w:val="176"/>
        </w:trPr>
        <w:tc>
          <w:tcPr>
            <w:tcW w:w="156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Affiliate Employees</w:t>
            </w:r>
          </w:p>
        </w:tc>
        <w:tc>
          <w:tcPr>
            <w:tcW w:w="0" w:type="dxa"/>
            <w:vAlign w:val="bottom"/>
          </w:tcPr>
          <w:p>
            <w:pPr>
              <w:spacing w:after="0"/>
              <w:rPr>
                <w:sz w:val="1"/>
                <w:szCs w:val="1"/>
                <w:color w:val="auto"/>
              </w:rPr>
            </w:pPr>
          </w:p>
        </w:tc>
      </w:tr>
      <w:tr>
        <w:trPr>
          <w:trHeight w:val="229"/>
        </w:trPr>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401(k) Plan</w:t>
            </w:r>
          </w:p>
        </w:tc>
        <w:tc>
          <w:tcPr>
            <w:tcW w:w="700" w:type="dxa"/>
            <w:vAlign w:val="bottom"/>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Puerto Rico</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207,379,846</w:t>
            </w:r>
          </w:p>
        </w:tc>
        <w:tc>
          <w:tcPr>
            <w:tcW w:w="7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7,869,578</w:t>
            </w:r>
          </w:p>
        </w:tc>
      </w:tr>
      <w:tr>
        <w:trPr>
          <w:trHeight w:val="270"/>
        </w:trPr>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102,107,635</w:t>
            </w:r>
          </w:p>
        </w:tc>
        <w:tc>
          <w:tcPr>
            <w:tcW w:w="7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4,358,338</w:t>
            </w:r>
          </w:p>
        </w:tc>
      </w:tr>
      <w:tr>
        <w:trPr>
          <w:trHeight w:val="412"/>
        </w:trPr>
        <w:tc>
          <w:tcPr>
            <w:tcW w:w="2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309,487,481</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12,227,916</w:t>
            </w:r>
          </w:p>
        </w:tc>
      </w:tr>
      <w:tr>
        <w:trPr>
          <w:trHeight w:val="742"/>
        </w:trPr>
        <w:tc>
          <w:tcPr>
            <w:tcW w:w="2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1,034,266,981</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32,040,589</w:t>
            </w:r>
          </w:p>
        </w:tc>
      </w:tr>
      <w:tr>
        <w:trPr>
          <w:trHeight w:val="418"/>
        </w:trPr>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1,308,755</w:t>
            </w:r>
          </w:p>
        </w:tc>
        <w:tc>
          <w:tcPr>
            <w:tcW w:w="7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122,331</w:t>
            </w:r>
          </w:p>
        </w:tc>
      </w:tr>
      <w:tr>
        <w:trPr>
          <w:trHeight w:val="412"/>
        </w:trPr>
        <w:tc>
          <w:tcPr>
            <w:tcW w:w="2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1,345,063,217</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44,390,836</w:t>
            </w:r>
          </w:p>
        </w:tc>
      </w:tr>
      <w:tr>
        <w:trPr>
          <w:trHeight w:val="702"/>
        </w:trPr>
        <w:tc>
          <w:tcPr>
            <w:tcW w:w="2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335,988,851</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15,237,420</w:t>
            </w:r>
          </w:p>
        </w:tc>
      </w:tr>
      <w:tr>
        <w:trPr>
          <w:trHeight w:val="270"/>
        </w:trPr>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2,984,842</w:t>
            </w:r>
          </w:p>
        </w:tc>
        <w:tc>
          <w:tcPr>
            <w:tcW w:w="7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186,214</w:t>
            </w:r>
          </w:p>
        </w:tc>
      </w:tr>
      <w:tr>
        <w:trPr>
          <w:trHeight w:val="250"/>
        </w:trPr>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338,973,693</w:t>
            </w:r>
          </w:p>
        </w:tc>
        <w:tc>
          <w:tcPr>
            <w:tcW w:w="7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15,423,634</w:t>
            </w:r>
          </w:p>
        </w:tc>
      </w:tr>
      <w:tr>
        <w:trPr>
          <w:trHeight w:val="574"/>
        </w:trPr>
        <w:tc>
          <w:tcPr>
            <w:tcW w:w="2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1,006,089,524</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28,967,202</w:t>
            </w:r>
          </w:p>
        </w:tc>
      </w:tr>
      <w:tr>
        <w:trPr>
          <w:trHeight w:val="432"/>
        </w:trPr>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7,216,293,877</w:t>
            </w:r>
          </w:p>
        </w:tc>
        <w:tc>
          <w:tcPr>
            <w:tcW w:w="7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245,512,702</w:t>
            </w: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8,222,383,401</w:t>
            </w:r>
          </w:p>
        </w:tc>
        <w:tc>
          <w:tcPr>
            <w:tcW w:w="7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274,479,904</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ectPr>
          <w:pgSz w:w="11900" w:h="16838" w:orient="portrait"/>
          <w:cols w:equalWidth="0" w:num="2">
            <w:col w:w="4500" w:space="200"/>
            <w:col w:w="4319"/>
          </w:cols>
          <w:pgMar w:left="1440" w:top="1252" w:right="1440" w:bottom="1440" w:gutter="0" w:footer="0" w:header="0"/>
          <w:type w:val="continuous"/>
        </w:sectPr>
      </w:pPr>
    </w:p>
    <w:p>
      <w:pPr>
        <w:ind w:left="520"/>
        <w:spacing w:after="0"/>
        <w:rPr>
          <w:sz w:val="20"/>
          <w:szCs w:val="20"/>
          <w:color w:val="auto"/>
        </w:rPr>
      </w:pPr>
      <w:r>
        <w:rPr>
          <w:rFonts w:ascii="Arial" w:cs="Arial" w:eastAsia="Arial" w:hAnsi="Arial"/>
          <w:sz w:val="18"/>
          <w:szCs w:val="18"/>
          <w:i w:val="1"/>
          <w:iCs w:val="1"/>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019"/>
          </w:cols>
          <w:pgMar w:left="1440" w:top="1252" w:right="1440"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2020 and 2019</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Description of the Plans</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accompanying financial statements comprise the employee savings plans of Eli Lilly and Company (the Company) and certain of the Company’s U.S. and Puerto Rico affiliates that participate, as of the end of the stated period, in The Lilly Employee Savings Plan Master Trust (the Master Trust).</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General</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Lilly Employee 401(k) Plan (the 401(k) Plan) was established for the benefit of eligible employees of Eli Lilly and Company and participating subsidiaries and affiliated companies. The Savings Plan for Lilly Affiliate Employees in Puerto Rico (the Puerto Rico Plan) was established for the benefit of resident eligible employees of, and certain employees within, the Commonwealth of Puerto Rico. The accompanying financial statements include the net assets and related activity of the 401(k) Plan and the Puerto Rico Plan.</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following description of the 401(k) Plan and the Puerto Rico Plan (collectively, the Plans) provides only general information. Participants should refer to the applicable plan documents and the Plans’ summary plan descriptions for more complete information.</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Alight Solutions, LLC is the recordkeeper of the Plans. The Company is the plan sponsor for the 401(k) Plan, and Lilly del Caribe, Inc. is the plan sponsor for the Puerto Rico Plan. The Employee Benefits Committee of the Company is the plan administrator for the Plans.</w:t>
      </w:r>
    </w:p>
    <w:p>
      <w:pPr>
        <w:spacing w:after="0" w:line="22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Full-time employees become eligible for participation in the Plans on the first day of employment. Seasonal, part-time, or other special-status employees must generally complete 1,000 hours of service within a 12-consecutive-month period to be eligible. The Plans allow for participant contributions from 1% to 50% of base compensation up to applicable regulatory limits. Participants have the option of enrolling in a program to increase their contribution rates automatically each year. Matching contributions by the Company are currently 100% of the employee contributions up to the 6% employee contribution level, subject to Internal Revenue Service (IRS) limits.</w:t>
      </w: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In September 2018, Elanco Animal Health Incorporated (Elanco), a former subsidiary of the Company, completed an initial public offering of a portion of its common stock. On January 2, 2019, the 401(k) Plan transferred the account balances attributable to Elanco employees, of approximately $301 million, to The Elanco US Inc. 401(k) Plan (the Elanco Plan). In February 2019, Elanco filed a registration statement to initiate an exchange offer in which shareholders, including eligible participants of the Elanco Plan, the 401(k) Plan, and the Puerto Rico Plan, could exchange shares of the Company's common stock for Elanco common stock. On March 11, 2019, the Company completed the disposition of its remaining ownership of Elanco common stock through the exchange offer. With respect to the 401(k) Plan and the Puerto Rico Plan, the shares of Elanco common stock in their respective Elanco Stock Funds were liquidated on December 12, 2019 and reinvested in the investment fund designated by each plan as its qualified default</w:t>
      </w:r>
    </w:p>
    <w:p>
      <w:pPr>
        <w:sectPr>
          <w:pgSz w:w="11900" w:h="16838" w:orient="portrait"/>
          <w:cols w:equalWidth="0" w:num="1">
            <w:col w:w="11240"/>
          </w:cols>
          <w:pgMar w:left="320" w:top="1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40"/>
          </w:cols>
          <w:pgMar w:left="320" w:top="190"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2020 and 2019</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9"/>
          <w:szCs w:val="19"/>
          <w:color w:val="auto"/>
        </w:rPr>
        <w:t>investment alternative. The financial statements of the Elanco Plan are excluded from the accompanying financial statements.</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Contributions</w:t>
      </w:r>
    </w:p>
    <w:p>
      <w:pPr>
        <w:spacing w:after="0" w:line="22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Participants may designate that their contributions be invested in any of the investment options offered by the Plans. In addition, participants generally can buy and sell investments offered by the Plans, including the Eli Lilly and Company common stock fund (the Company Stock Fund), and transfer money, vested or nonvested, from any of the investment options into and out of any of the other investment options. Participants also are allowed to take payment of the Company Stock Fund dividends in lieu of having them reinvested in their participant accounts. Company matching contributions are allocated based on a participant’s investment elections for their own contributions.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w:t>
      </w:r>
    </w:p>
    <w:p>
      <w:pPr>
        <w:spacing w:after="0" w:line="26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All participants are vested immediately in their own contributions. All participants with two credited years of service are vested in 100% of the Company’s matching contributions. Forfeitures of approximately $917,000 for the 401(k) Plan were applied to decrease the Company’s contributions during 2020 for the 401(k) Plan. Forfeitures of approximately $35,000 were applied to decrease the Company’s contributions during 2020 for the Puerto Rico Plan.</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Participant Loans</w:t>
      </w:r>
    </w:p>
    <w:p>
      <w:pPr>
        <w:spacing w:after="0" w:line="253"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Participants may borrow from their accounts a minimum of $1,000 and a maximum of the least of (1) one-half of the amount of the participant’s vested account, (2) 90% of the portion of the participant’s account balance attributable to the participant’s pretax contributions and rollover account, and (3) $50,000 (all of which are reduced by any unpaid loan balance). The loans are collateralized by the participant’s vested account and bear interest at prime plus 1%. Should the participant terminate as an employee, the balance of the outstanding loan becomes due and payable. Related fees are recorded as administrative expenses and are expensed when they are incurred.</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Payment of Benefits</w:t>
      </w:r>
    </w:p>
    <w:p>
      <w:pPr>
        <w:spacing w:after="0" w:line="266" w:lineRule="exact"/>
        <w:rPr>
          <w:sz w:val="20"/>
          <w:szCs w:val="20"/>
          <w:color w:val="auto"/>
        </w:rPr>
      </w:pPr>
    </w:p>
    <w:p>
      <w:pPr>
        <w:ind w:right="60"/>
        <w:spacing w:after="0" w:line="312" w:lineRule="auto"/>
        <w:rPr>
          <w:sz w:val="20"/>
          <w:szCs w:val="20"/>
          <w:color w:val="auto"/>
        </w:rPr>
      </w:pPr>
      <w:r>
        <w:rPr>
          <w:rFonts w:ascii="Arial" w:cs="Arial" w:eastAsia="Arial" w:hAnsi="Arial"/>
          <w:sz w:val="19"/>
          <w:szCs w:val="19"/>
          <w:color w:val="auto"/>
        </w:rPr>
        <w:t>Participants may elect to receive distributions upon termination in the form of one or more lump-sum payments or various installment annuities. Participants may also be eligible to take voluntary, in-service withdrawals, including hardship withdrawals, non-hardship withdrawals, and age 59 ½ withdrawals. Mandatory distributions are made in accordance with Plan provisions.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Termination</w:t>
      </w:r>
    </w:p>
    <w:p>
      <w:pPr>
        <w:spacing w:after="0" w:line="266"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The Plans are subject to and are intended to comply with the provisions of the Employee Retirement Income Security Act of 1974 (ERISA) and applicable IRS or Puerto Rico Treasury requirements.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9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2020 and 2019</w:t>
      </w:r>
    </w:p>
    <w:p>
      <w:pPr>
        <w:spacing w:after="0" w:line="200" w:lineRule="exact"/>
        <w:rPr>
          <w:sz w:val="20"/>
          <w:szCs w:val="20"/>
          <w:color w:val="auto"/>
        </w:rPr>
      </w:pPr>
    </w:p>
    <w:p>
      <w:pPr>
        <w:spacing w:after="0" w:line="345"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Company has the right to terminate the Plans subject to the provisions of ERISA and the Plans, as established in the applicable plan documents. In the event the Plans are terminated, each participant’s account shall be nonforfeitable with respect to both the employee’s and the Company’s contributions, and the net assets are to be set aside for payment of withdrawals by participants.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Significant Accounting Policies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Valuation and Income Recognition</w:t>
      </w:r>
    </w:p>
    <w:p>
      <w:pPr>
        <w:spacing w:after="0" w:line="25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Investments held by the Master Trust are stated at fair value, except for fully benefit-responsive synthetic guaranteed investment contracts, as noted below. Fair value is defined as the price that would be received to sell an asset or paid to transfer a liability in an orderly transaction between market participants at the measurement date (an exit price). See Note 4 for further discussion of fair value measurements.</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Master Trust invests in fully benefit-responsive synthetic guaranteed investment contracts (synthetic GICs), which are stated at contract value. Contract value represents contributions made under each contract, plus earnings, less participant withdrawals and administrative expenses. Participants may ordinarily direct the withdrawal or transfer of all or a portion of their investments at contract value.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Receivable from Participants</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Notes receivable from participants represent participant loans that are recorded at their unpaid principal balances plus any accrued but unpaid interest. Interest income on notes receivable from participants is recorded when it is earned. No allowance for credit losses has been recorded as of December 31, 2020 and 2019. If a participant ceases to make loan repayments and the plan administrator deems the participant loan to be a distribution, the participant loan balance is reduced, and a benefit payment is recorded.</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Estimates and Basis of Accounting</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preparation of financial statements in conformity with U.S. generally accepted accounting principles (U.S. GAAP) requires management to make estimates that affect the amounts reported in the financial statements and accompanying notes. Actual results could differ from these estimates. The accompanying financial statements have been prepared on the accrual basis of accounting.</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Master Trust</w:t>
      </w:r>
    </w:p>
    <w:p>
      <w:pPr>
        <w:spacing w:after="0" w:line="25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Plans provide that both participant contributions and company matching contributions be held in a trust by an independent trustee for the benefit of participating employees. During 2020 and 2019, The Northern Trust Company served as trustee and maintained the accounting of the aggregate value of assets associated with each Plan participating in the Master Trust. The respective ownership interest of each Plan is determined using a unit-valuation method. At December 31, 2020, the Master Trust held the assets of</w:t>
      </w:r>
    </w:p>
    <w:p>
      <w:pPr>
        <w:sectPr>
          <w:pgSz w:w="11900" w:h="16838" w:orient="portrait"/>
          <w:cols w:equalWidth="0" w:num="1">
            <w:col w:w="11240"/>
          </w:cols>
          <w:pgMar w:left="320" w:top="1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90"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2020 and 2019</w:t>
      </w:r>
    </w:p>
    <w:p>
      <w:pPr>
        <w:spacing w:after="0" w:line="200" w:lineRule="exact"/>
        <w:rPr>
          <w:sz w:val="20"/>
          <w:szCs w:val="20"/>
          <w:color w:val="auto"/>
        </w:rPr>
      </w:pPr>
    </w:p>
    <w:p>
      <w:pPr>
        <w:spacing w:after="0" w:line="34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401(k) Plan and the Puerto Rico Plan. At December 31, 2019, the Master Trust held the assets of the 401(k) Plan, the Puerto Rico Plan, and the Elanco Plan.</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Purchases and sales of securities are recorded on a trade-date basis. Interest income is recorded as earned. Dividends are recorded on the ex-dividend date. Net appreciation includes gains and losses on investments bought and sold, as well as held during the year.</w:t>
      </w:r>
    </w:p>
    <w:p>
      <w:pPr>
        <w:spacing w:after="0" w:line="212"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Investment income, including net appreciation/depreciation in fair value of investments and expenses, is allocated to the participating plans based upon their pro rata share of the net assets of the Master Trust.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Net investment income for the Master Trust for the year ended December 31, 2020 is as follows:</w:t>
      </w: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6080" w:type="dxa"/>
            <w:vAlign w:val="bottom"/>
          </w:tcPr>
          <w:p>
            <w:pPr>
              <w:spacing w:after="0"/>
              <w:rPr>
                <w:sz w:val="20"/>
                <w:szCs w:val="20"/>
                <w:color w:val="auto"/>
              </w:rPr>
            </w:pPr>
            <w:r>
              <w:rPr>
                <w:rFonts w:ascii="Arial" w:cs="Arial" w:eastAsia="Arial" w:hAnsi="Arial"/>
                <w:sz w:val="20"/>
                <w:szCs w:val="20"/>
                <w:color w:val="auto"/>
              </w:rPr>
              <w:t>Net realized and unrealized gains and losses on investments</w:t>
            </w:r>
          </w:p>
        </w:tc>
        <w:tc>
          <w:tcPr>
            <w:tcW w:w="480" w:type="dxa"/>
            <w:vAlign w:val="bottom"/>
          </w:tcPr>
          <w:p>
            <w:pPr>
              <w:jc w:val="right"/>
              <w:ind w:right="261"/>
              <w:spacing w:after="0"/>
              <w:rPr>
                <w:sz w:val="20"/>
                <w:szCs w:val="20"/>
                <w:color w:val="auto"/>
              </w:rPr>
            </w:pPr>
            <w:r>
              <w:rPr>
                <w:rFonts w:ascii="Arial" w:cs="Arial" w:eastAsia="Arial" w:hAnsi="Arial"/>
                <w:sz w:val="20"/>
                <w:szCs w:val="20"/>
                <w:color w:val="auto"/>
                <w:w w:val="89"/>
              </w:rPr>
              <w:t>$</w:t>
            </w:r>
          </w:p>
        </w:tc>
        <w:tc>
          <w:tcPr>
            <w:tcW w:w="1580" w:type="dxa"/>
            <w:vAlign w:val="bottom"/>
          </w:tcPr>
          <w:p>
            <w:pPr>
              <w:jc w:val="right"/>
              <w:spacing w:after="0"/>
              <w:rPr>
                <w:sz w:val="20"/>
                <w:szCs w:val="20"/>
                <w:color w:val="auto"/>
              </w:rPr>
            </w:pPr>
            <w:r>
              <w:rPr>
                <w:rFonts w:ascii="Arial" w:cs="Arial" w:eastAsia="Arial" w:hAnsi="Arial"/>
                <w:sz w:val="20"/>
                <w:szCs w:val="20"/>
                <w:color w:val="auto"/>
              </w:rPr>
              <w:t>1,026,614,057</w:t>
            </w:r>
          </w:p>
        </w:tc>
      </w:tr>
      <w:tr>
        <w:trPr>
          <w:trHeight w:val="243"/>
        </w:trPr>
        <w:tc>
          <w:tcPr>
            <w:tcW w:w="6080" w:type="dxa"/>
            <w:vAlign w:val="bottom"/>
          </w:tcPr>
          <w:p>
            <w:pPr>
              <w:spacing w:after="0"/>
              <w:rPr>
                <w:sz w:val="20"/>
                <w:szCs w:val="20"/>
                <w:color w:val="auto"/>
              </w:rPr>
            </w:pPr>
            <w:r>
              <w:rPr>
                <w:rFonts w:ascii="Arial" w:cs="Arial" w:eastAsia="Arial" w:hAnsi="Arial"/>
                <w:sz w:val="20"/>
                <w:szCs w:val="20"/>
                <w:color w:val="auto"/>
              </w:rPr>
              <w:t>Interest income, net of expenses</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12,026,805</w:t>
            </w:r>
          </w:p>
        </w:tc>
      </w:tr>
      <w:tr>
        <w:trPr>
          <w:trHeight w:val="246"/>
        </w:trPr>
        <w:tc>
          <w:tcPr>
            <w:tcW w:w="6080" w:type="dxa"/>
            <w:vAlign w:val="bottom"/>
          </w:tcPr>
          <w:p>
            <w:pPr>
              <w:spacing w:after="0"/>
              <w:rPr>
                <w:sz w:val="20"/>
                <w:szCs w:val="20"/>
                <w:color w:val="auto"/>
              </w:rPr>
            </w:pPr>
            <w:r>
              <w:rPr>
                <w:rFonts w:ascii="Arial" w:cs="Arial" w:eastAsia="Arial" w:hAnsi="Arial"/>
                <w:sz w:val="20"/>
                <w:szCs w:val="20"/>
                <w:color w:val="auto"/>
              </w:rPr>
              <w:t>Dividend income</w:t>
            </w:r>
          </w:p>
        </w:tc>
        <w:tc>
          <w:tcPr>
            <w:tcW w:w="4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27,666,708</w:t>
            </w:r>
          </w:p>
        </w:tc>
      </w:tr>
      <w:tr>
        <w:trPr>
          <w:trHeight w:val="236"/>
        </w:trPr>
        <w:tc>
          <w:tcPr>
            <w:tcW w:w="6080" w:type="dxa"/>
            <w:vAlign w:val="bottom"/>
          </w:tcPr>
          <w:p>
            <w:pPr>
              <w:ind w:left="160"/>
              <w:spacing w:after="0"/>
              <w:rPr>
                <w:sz w:val="20"/>
                <w:szCs w:val="20"/>
                <w:color w:val="auto"/>
              </w:rPr>
            </w:pPr>
            <w:r>
              <w:rPr>
                <w:rFonts w:ascii="Arial" w:cs="Arial" w:eastAsia="Arial" w:hAnsi="Arial"/>
                <w:sz w:val="20"/>
                <w:szCs w:val="20"/>
                <w:color w:val="auto"/>
              </w:rPr>
              <w:t>Net investment income</w:t>
            </w:r>
          </w:p>
        </w:tc>
        <w:tc>
          <w:tcPr>
            <w:tcW w:w="48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1,066,307,570</w:t>
            </w:r>
          </w:p>
        </w:tc>
      </w:tr>
      <w:tr>
        <w:trPr>
          <w:trHeight w:val="21"/>
        </w:trPr>
        <w:tc>
          <w:tcPr>
            <w:tcW w:w="60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interests in the net assets of the Master Trust of the 401(k) Plan and the Puerto Rico Plan are presented in the accompanying financial statements.</w:t>
      </w:r>
    </w:p>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Master Trust holds synthetic GICs with third-party financial service institutions. The synthetic GICs are wrap contracts paired with an underlying investment portfolio of common/collective trust funds that invest in average-quality, short/intermediate-term, fixed-income securities. A synthetic GIC credits the holder’s account with a stated crediting rate for a specified period of time. Investment gains and losses are amortized over the expected duration through the calculation of the crediting rate applicable to the Plans on a prospective basis. Synthetic GICs provide for a variable crediting rate, which typically resets at least quarterly, and the issuers of the wrap contract provide a guarantee that future adjustments to the crediting rate cannot result in a crediting rate less than zero.</w:t>
      </w:r>
    </w:p>
    <w:p>
      <w:pPr>
        <w:spacing w:after="0" w:line="223"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crediting rate is primarily based on the current yield-to-maturity of the covered investments, plus or minus amortization of the difference between the market value and contract value of the covered investments over the expected duration at the time of computation. The crediting rate is impacted by the change in the annual effective yield-to-maturity of the underlying securities but is also affected by the differential between the contract value and the market value of the covered investments.</w:t>
      </w:r>
    </w:p>
    <w:p>
      <w:pPr>
        <w:spacing w:after="0" w:line="183"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Generally, contract value withdrawals will be made pro rata based on the percentage of investments covered by each issuer. The terms of the wrap contracts generally provide for full contract value withdrawal only upon termination of the contract or total liquidation of the covered investments. Contract termination occurs whenever the contract value or market value of the covered investments reaches zero or upon certain events of default. If the contract terminates due to issuer default (other than a default</w:t>
      </w:r>
    </w:p>
    <w:p>
      <w:pPr>
        <w:sectPr>
          <w:pgSz w:w="11900" w:h="16838" w:orient="portrait"/>
          <w:cols w:equalWidth="0" w:num="1">
            <w:col w:w="11240"/>
          </w:cols>
          <w:pgMar w:left="320" w:top="1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90"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2020 and 2019</w:t>
      </w:r>
    </w:p>
    <w:p>
      <w:pPr>
        <w:spacing w:after="0" w:line="200" w:lineRule="exact"/>
        <w:rPr>
          <w:sz w:val="20"/>
          <w:szCs w:val="20"/>
          <w:color w:val="auto"/>
        </w:rPr>
      </w:pPr>
    </w:p>
    <w:p>
      <w:pPr>
        <w:spacing w:after="0" w:line="345"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occurring because of a decline in its rating), the issuer will generally be required to pay to the Plans the excess, if any, of contract value over market value on the date of termination. If the contract terminates when the market value equals zero, the issuer will pay the excess of contract value over market value to the Plans to the extent necessary for the Plans to satisfy outstanding contract value withdrawal requests. Contract termination also may occur by either party upon election and notice. However, such election by a contract issuer typically allows for a gradual asset risk wind-down generally over the portfolio’s duration and would maintain contract value on the Plans.</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Certain events, including (1) certain amendments to the Plans' documents (including complete or partial plan termination or merger with another plan), (2) changes to the Plans’ prohibition on competing investment options or deletion of equity wash provisions, (3) bankruptcy of the Plans' sponsors or other Plans' sponsor events that cause a significant withdrawal from the Plans, and (4) the failure of the trust to qualify for exemption from federal income taxes or any required prohibited transaction exemption under ERISA, limit the ability of the Plans to transact contract value withdrawals from the wrap contracts. The plan administrator believes that the occurrence of any such event which would limit the Plans’ ability to transact contract value withdrawals is not probable of occurring.</w:t>
      </w:r>
    </w:p>
    <w:p>
      <w:pPr>
        <w:spacing w:after="0" w:line="223"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synthetic GICs generally impose conditions on both the Plans and the issuer. If an event of default, as defined, occurs and is not cured, and the Plans are unable to negotiate continuing coverage or obtain a replacement investment contract, the Plans may experience losses if the value of the Plans’ assets no longer covered by the contract is below contract value. The combination of the default of an issuer and an inability to obtain replacement coverage could render the Plans unable to achieve their objective of maintaining a stable contract value. The plan administrator does not believe the occurrence of any such event has occurred or is probable of occurring.</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Fair Value Measurements</w:t>
      </w:r>
    </w:p>
    <w:p>
      <w:pPr>
        <w:spacing w:after="0" w:line="26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ASC 820 defines fair value, establishes a framework for measuring fair value, and expands disclosures about fair value measurements. Fair value is defined as the price that would be received to sell an asset or paid to transfer a liability in an orderly transaction between market participants at the measurement date (i.e., an exit price). ASC 820 includes a fair value hierarchy that prioritizes the inputs to valuation techniques used to measure fair value. The hierarchy gives the highest priority to unadjusted quoted prices in active markets for identical assets and liabilities (Level 1) and the lowest priority to unobservable inputs (Level 3). The three levels of the fair value hierarchy under ASC 820 are described below:</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9"/>
          <w:szCs w:val="19"/>
          <w:color w:val="auto"/>
        </w:rPr>
        <w:t>Level 1 - Inputs to the valuation methodology are unadjusted quoted prices for identical assets or liabilities in active markets.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Level 2 - Inputs to the valuation methodology include:</w:t>
      </w:r>
    </w:p>
    <w:p>
      <w:pPr>
        <w:spacing w:after="0" w:line="26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2"/>
          <w:szCs w:val="22"/>
          <w:color w:val="auto"/>
        </w:rPr>
        <w:t>Quoted prices for similar assets and liabilities in active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90"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2020 and 2019</w:t>
      </w:r>
    </w:p>
    <w:p>
      <w:pPr>
        <w:spacing w:after="0" w:line="200" w:lineRule="exact"/>
        <w:rPr>
          <w:sz w:val="20"/>
          <w:szCs w:val="20"/>
          <w:color w:val="auto"/>
        </w:rPr>
      </w:pPr>
    </w:p>
    <w:p>
      <w:pPr>
        <w:spacing w:after="0" w:line="34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Quoted prices for identical or similar assets or liabilities in markets that are not active</w:t>
      </w:r>
    </w:p>
    <w:p>
      <w:pPr>
        <w:spacing w:after="0" w:line="260" w:lineRule="exact"/>
        <w:rPr>
          <w:rFonts w:ascii="Arial" w:cs="Arial" w:eastAsia="Arial" w:hAnsi="Arial"/>
          <w:sz w:val="22"/>
          <w:szCs w:val="22"/>
          <w:color w:val="auto"/>
        </w:rPr>
      </w:pPr>
    </w:p>
    <w:p>
      <w:pPr>
        <w:ind w:left="660" w:hanging="328"/>
        <w:spacing w:after="0" w:line="263"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2"/>
          <w:szCs w:val="22"/>
          <w:color w:val="auto"/>
        </w:rPr>
        <w:t>Inputs other than quoted prices that are for the assets or liabilities (e.g., interest rate and yield curve quotes at commonly quoted intervals)</w:t>
      </w:r>
    </w:p>
    <w:p>
      <w:pPr>
        <w:spacing w:after="0" w:line="201"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1"/>
          <w:szCs w:val="21"/>
          <w:color w:val="auto"/>
        </w:rPr>
      </w:pPr>
      <w:r>
        <w:rPr>
          <w:rFonts w:ascii="Arial" w:cs="Arial" w:eastAsia="Arial" w:hAnsi="Arial"/>
          <w:sz w:val="21"/>
          <w:szCs w:val="21"/>
          <w:color w:val="auto"/>
        </w:rPr>
        <w:t>Inputs that are derived principally from or corroborated by observable market data by correlation or other means</w:t>
      </w:r>
    </w:p>
    <w:p>
      <w:pPr>
        <w:spacing w:after="0" w:line="272" w:lineRule="exact"/>
        <w:rPr>
          <w:sz w:val="20"/>
          <w:szCs w:val="20"/>
          <w:color w:val="auto"/>
        </w:rPr>
      </w:pPr>
    </w:p>
    <w:p>
      <w:pPr>
        <w:ind w:left="340"/>
        <w:spacing w:after="0" w:line="263" w:lineRule="auto"/>
        <w:rPr>
          <w:sz w:val="20"/>
          <w:szCs w:val="20"/>
          <w:color w:val="auto"/>
        </w:rPr>
      </w:pPr>
      <w:r>
        <w:rPr>
          <w:rFonts w:ascii="Arial" w:cs="Arial" w:eastAsia="Arial" w:hAnsi="Arial"/>
          <w:sz w:val="22"/>
          <w:szCs w:val="22"/>
          <w:color w:val="auto"/>
        </w:rPr>
        <w:t>If the asset or liability has a specified (contractual) term, the Level 2 input must be observable for substantially the full term of the asset or liability.</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Level 3 - Inputs to the valuation methodology are unobservable and significant to the fair value measurement.</w:t>
      </w:r>
    </w:p>
    <w:p>
      <w:pPr>
        <w:spacing w:after="0" w:line="247"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level in the fair value hierarchy within which the fair value measurement is classified is determined based upon the lowest level of input that is significant to the fair value measurement in its entirety.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is a description of the valuation techniques and inputs used for assets measured at fair value:</w:t>
      </w:r>
    </w:p>
    <w:p>
      <w:pPr>
        <w:spacing w:after="0" w:line="260" w:lineRule="exact"/>
        <w:rPr>
          <w:sz w:val="20"/>
          <w:szCs w:val="20"/>
          <w:color w:val="auto"/>
        </w:rPr>
      </w:pPr>
    </w:p>
    <w:p>
      <w:pPr>
        <w:ind w:left="660" w:hanging="328"/>
        <w:spacing w:after="0" w:line="343"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9"/>
          <w:szCs w:val="19"/>
          <w:color w:val="auto"/>
        </w:rPr>
        <w:t>Registered investment companies (mutual funds) - Valued at the net asset value (NAV) of shares held by the Master Trust at year end, as quoted in the active market, and are classified within Level 1 of the valuation hierarchy.</w:t>
      </w:r>
    </w:p>
    <w:p>
      <w:pPr>
        <w:spacing w:after="0" w:line="131" w:lineRule="exact"/>
        <w:rPr>
          <w:rFonts w:ascii="Arial" w:cs="Arial" w:eastAsia="Arial" w:hAnsi="Arial"/>
          <w:sz w:val="16"/>
          <w:szCs w:val="16"/>
          <w:color w:val="auto"/>
        </w:rPr>
      </w:pPr>
    </w:p>
    <w:p>
      <w:pPr>
        <w:jc w:val="both"/>
        <w:ind w:left="660" w:hanging="328"/>
        <w:spacing w:after="0" w:line="253"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22"/>
          <w:szCs w:val="22"/>
          <w:color w:val="auto"/>
        </w:rPr>
        <w:t>Self-directed brokerage accounts (represents mutual funds and exchange-traded funds) - Valued at the NAV of shares held by the Master Trust at year end, as quoted in the active market, and are classified within Level 1 of the valuation hierarchy.</w:t>
      </w:r>
    </w:p>
    <w:p>
      <w:pPr>
        <w:spacing w:after="0" w:line="225" w:lineRule="exact"/>
        <w:rPr>
          <w:rFonts w:ascii="Arial" w:cs="Arial" w:eastAsia="Arial" w:hAnsi="Arial"/>
          <w:sz w:val="22"/>
          <w:szCs w:val="22"/>
          <w:color w:val="auto"/>
        </w:rPr>
      </w:pPr>
    </w:p>
    <w:p>
      <w:pPr>
        <w:ind w:left="660" w:hanging="328"/>
        <w:spacing w:after="0" w:line="263"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22"/>
          <w:szCs w:val="22"/>
          <w:color w:val="auto"/>
        </w:rPr>
        <w:t>Eli Lilly and Company common stock and other common stock - Valued at the closing price reported on the New York Stock Exchange and are classified within Level 1 of the valuation hierarchy.</w:t>
      </w:r>
    </w:p>
    <w:p>
      <w:pPr>
        <w:spacing w:after="0" w:line="215" w:lineRule="exact"/>
        <w:rPr>
          <w:rFonts w:ascii="Arial" w:cs="Arial" w:eastAsia="Arial" w:hAnsi="Arial"/>
          <w:sz w:val="22"/>
          <w:szCs w:val="22"/>
          <w:color w:val="auto"/>
        </w:rPr>
      </w:pPr>
    </w:p>
    <w:p>
      <w:pPr>
        <w:jc w:val="both"/>
        <w:ind w:left="660" w:hanging="328"/>
        <w:spacing w:after="0" w:line="250"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22"/>
          <w:szCs w:val="22"/>
          <w:color w:val="auto"/>
        </w:rPr>
        <w:t>Interest in common/collective trusts - Represents interests in pooled investment vehicles designed primarily for collective investment of employee benefit trusts. The fair value of the investments in this category has been estimated using the NAV per unit as a practical expedient provided by the fund managers. Redemption restrictions range from 1 to 30 days, and there were no unfunded commitments in this investment category.</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valuation methodologies described above may produce a fair value calculation that may not be indicative of net realizable value or reflective of future fair values. Furthermore, while the Plans believe their valuation methods are appropriate and consistent with those of other market participants, the use of different methodologies or assumptions to determine the fair value of certain financial instruments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90"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December 31, 2020 and 2019</w:t>
      </w:r>
    </w:p>
    <w:p>
      <w:pPr>
        <w:spacing w:after="0" w:line="200" w:lineRule="exact"/>
        <w:rPr>
          <w:sz w:val="20"/>
          <w:szCs w:val="20"/>
          <w:color w:val="auto"/>
        </w:rPr>
      </w:pPr>
    </w:p>
    <w:p>
      <w:pPr>
        <w:spacing w:after="0" w:line="34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result in a different fair value measurement at the reporting date. There have been no changes in the methodologies used at December 31, 2020 and 2019.</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sets forth the net assets of the Master Trust and the Master Trust's assets carried at fair value as of</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December 31, 2020, by level, within the fair value hierarchy:</w:t>
      </w:r>
    </w:p>
    <w:p>
      <w:pPr>
        <w:spacing w:after="0" w:line="254"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2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60" w:type="dxa"/>
            <w:vAlign w:val="bottom"/>
          </w:tcPr>
          <w:p>
            <w:pPr>
              <w:jc w:val="right"/>
              <w:ind w:right="308"/>
              <w:spacing w:after="0"/>
              <w:rPr>
                <w:sz w:val="20"/>
                <w:szCs w:val="20"/>
                <w:color w:val="auto"/>
              </w:rPr>
            </w:pPr>
            <w:r>
              <w:rPr>
                <w:rFonts w:ascii="Arial" w:cs="Arial" w:eastAsia="Arial" w:hAnsi="Arial"/>
                <w:sz w:val="14"/>
                <w:szCs w:val="14"/>
                <w:b w:val="1"/>
                <w:bCs w:val="1"/>
                <w:color w:val="auto"/>
              </w:rPr>
              <w:t>Master Trust</w:t>
            </w: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Balance</w:t>
            </w:r>
          </w:p>
        </w:tc>
        <w:tc>
          <w:tcPr>
            <w:tcW w:w="280" w:type="dxa"/>
            <w:vAlign w:val="bottom"/>
          </w:tcPr>
          <w:p>
            <w:pPr>
              <w:spacing w:after="0"/>
              <w:rPr>
                <w:sz w:val="16"/>
                <w:szCs w:val="16"/>
                <w:color w:val="auto"/>
              </w:rPr>
            </w:pPr>
          </w:p>
        </w:tc>
        <w:tc>
          <w:tcPr>
            <w:tcW w:w="16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6"/>
                <w:szCs w:val="16"/>
                <w:color w:val="auto"/>
              </w:rPr>
            </w:pP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6"/>
                <w:szCs w:val="16"/>
                <w:color w:val="auto"/>
              </w:rPr>
            </w:pPr>
          </w:p>
        </w:tc>
        <w:tc>
          <w:tcPr>
            <w:tcW w:w="14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3"/>
        </w:trPr>
        <w:tc>
          <w:tcPr>
            <w:tcW w:w="2780" w:type="dxa"/>
            <w:vAlign w:val="bottom"/>
          </w:tcPr>
          <w:p>
            <w:pPr>
              <w:spacing w:after="0"/>
              <w:rPr>
                <w:sz w:val="20"/>
                <w:szCs w:val="20"/>
                <w:color w:val="auto"/>
              </w:rPr>
            </w:pPr>
            <w:r>
              <w:rPr>
                <w:rFonts w:ascii="Arial" w:cs="Arial" w:eastAsia="Arial" w:hAnsi="Arial"/>
                <w:sz w:val="14"/>
                <w:szCs w:val="14"/>
                <w:color w:val="auto"/>
              </w:rPr>
              <w:t>Investments at fair value:</w:t>
            </w:r>
          </w:p>
        </w:tc>
        <w:tc>
          <w:tcPr>
            <w:tcW w:w="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80" w:type="dxa"/>
            <w:vAlign w:val="bottom"/>
          </w:tcPr>
          <w:p>
            <w:pPr>
              <w:ind w:left="120"/>
              <w:spacing w:after="0"/>
              <w:rPr>
                <w:sz w:val="20"/>
                <w:szCs w:val="20"/>
                <w:color w:val="auto"/>
              </w:rPr>
            </w:pPr>
            <w:r>
              <w:rPr>
                <w:rFonts w:ascii="Arial" w:cs="Arial" w:eastAsia="Arial" w:hAnsi="Arial"/>
                <w:sz w:val="14"/>
                <w:szCs w:val="14"/>
                <w:color w:val="auto"/>
              </w:rPr>
              <w:t>Registered investment companies</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476,858,186</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476,858,186</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ind w:left="114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tcPr>
          <w:p>
            <w:pPr>
              <w:ind w:left="1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780" w:type="dxa"/>
            <w:vAlign w:val="bottom"/>
          </w:tcPr>
          <w:p>
            <w:pPr>
              <w:ind w:left="120"/>
              <w:spacing w:after="0"/>
              <w:rPr>
                <w:sz w:val="20"/>
                <w:szCs w:val="20"/>
                <w:color w:val="auto"/>
              </w:rPr>
            </w:pPr>
            <w:r>
              <w:rPr>
                <w:rFonts w:ascii="Arial" w:cs="Arial" w:eastAsia="Arial" w:hAnsi="Arial"/>
                <w:sz w:val="14"/>
                <w:szCs w:val="14"/>
                <w:color w:val="auto"/>
              </w:rPr>
              <w:t>Self-directed brokerage accounts</w:t>
            </w:r>
          </w:p>
        </w:tc>
        <w:tc>
          <w:tcPr>
            <w:tcW w:w="6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253,972,497</w:t>
            </w:r>
          </w:p>
        </w:tc>
        <w:tc>
          <w:tcPr>
            <w:tcW w:w="2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253,972,497</w:t>
            </w:r>
          </w:p>
        </w:tc>
        <w:tc>
          <w:tcPr>
            <w:tcW w:w="280" w:type="dxa"/>
            <w:vAlign w:val="bottom"/>
          </w:tcPr>
          <w:p>
            <w:pPr>
              <w:spacing w:after="0"/>
              <w:rPr>
                <w:sz w:val="16"/>
                <w:szCs w:val="16"/>
                <w:color w:val="auto"/>
              </w:rPr>
            </w:pPr>
          </w:p>
        </w:tc>
        <w:tc>
          <w:tcPr>
            <w:tcW w:w="1360" w:type="dxa"/>
            <w:vAlign w:val="bottom"/>
          </w:tcPr>
          <w:p>
            <w:pPr>
              <w:ind w:left="1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400" w:type="dxa"/>
            <w:vAlign w:val="bottom"/>
          </w:tcPr>
          <w:p>
            <w:pPr>
              <w:ind w:left="1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780" w:type="dxa"/>
            <w:vAlign w:val="bottom"/>
          </w:tcPr>
          <w:p>
            <w:pPr>
              <w:ind w:left="120"/>
              <w:spacing w:after="0"/>
              <w:rPr>
                <w:sz w:val="20"/>
                <w:szCs w:val="20"/>
                <w:color w:val="auto"/>
              </w:rPr>
            </w:pPr>
            <w:r>
              <w:rPr>
                <w:rFonts w:ascii="Arial" w:cs="Arial" w:eastAsia="Arial" w:hAnsi="Arial"/>
                <w:sz w:val="14"/>
                <w:szCs w:val="14"/>
                <w:color w:val="auto"/>
              </w:rPr>
              <w:t>Eli Lilly and Company common stock</w:t>
            </w:r>
          </w:p>
        </w:tc>
        <w:tc>
          <w:tcPr>
            <w:tcW w:w="6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968,264,814</w:t>
            </w:r>
          </w:p>
        </w:tc>
        <w:tc>
          <w:tcPr>
            <w:tcW w:w="2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968,264,814</w:t>
            </w:r>
          </w:p>
        </w:tc>
        <w:tc>
          <w:tcPr>
            <w:tcW w:w="280" w:type="dxa"/>
            <w:vAlign w:val="bottom"/>
          </w:tcPr>
          <w:p>
            <w:pPr>
              <w:spacing w:after="0"/>
              <w:rPr>
                <w:sz w:val="16"/>
                <w:szCs w:val="16"/>
                <w:color w:val="auto"/>
              </w:rPr>
            </w:pPr>
          </w:p>
        </w:tc>
        <w:tc>
          <w:tcPr>
            <w:tcW w:w="1360" w:type="dxa"/>
            <w:vAlign w:val="bottom"/>
          </w:tcPr>
          <w:p>
            <w:pPr>
              <w:ind w:left="1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400" w:type="dxa"/>
            <w:vAlign w:val="bottom"/>
          </w:tcPr>
          <w:p>
            <w:pPr>
              <w:ind w:left="1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780" w:type="dxa"/>
            <w:vAlign w:val="bottom"/>
          </w:tcPr>
          <w:p>
            <w:pPr>
              <w:ind w:left="120"/>
              <w:spacing w:after="0"/>
              <w:rPr>
                <w:sz w:val="20"/>
                <w:szCs w:val="20"/>
                <w:color w:val="auto"/>
              </w:rPr>
            </w:pPr>
            <w:r>
              <w:rPr>
                <w:rFonts w:ascii="Arial" w:cs="Arial" w:eastAsia="Arial" w:hAnsi="Arial"/>
                <w:sz w:val="14"/>
                <w:szCs w:val="14"/>
                <w:color w:val="auto"/>
              </w:rPr>
              <w:t>Other common stock</w:t>
            </w:r>
          </w:p>
        </w:tc>
        <w:tc>
          <w:tcPr>
            <w:tcW w:w="660" w:type="dxa"/>
            <w:vAlign w:val="bottom"/>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98,724,496</w:t>
            </w:r>
          </w:p>
        </w:tc>
        <w:tc>
          <w:tcPr>
            <w:tcW w:w="280" w:type="dxa"/>
            <w:vAlign w:val="bottom"/>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98,724,496</w:t>
            </w:r>
          </w:p>
        </w:tc>
        <w:tc>
          <w:tcPr>
            <w:tcW w:w="280" w:type="dxa"/>
            <w:vAlign w:val="bottom"/>
          </w:tcPr>
          <w:p>
            <w:pPr>
              <w:spacing w:after="0"/>
              <w:rPr>
                <w:sz w:val="16"/>
                <w:szCs w:val="16"/>
                <w:color w:val="auto"/>
              </w:rPr>
            </w:pPr>
          </w:p>
        </w:tc>
        <w:tc>
          <w:tcPr>
            <w:tcW w:w="1360" w:type="dxa"/>
            <w:vAlign w:val="bottom"/>
            <w:tcBorders>
              <w:bottom w:val="single" w:sz="8" w:color="auto"/>
            </w:tcBorders>
          </w:tcPr>
          <w:p>
            <w:pPr>
              <w:ind w:left="1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400" w:type="dxa"/>
            <w:vAlign w:val="bottom"/>
            <w:tcBorders>
              <w:bottom w:val="single" w:sz="8" w:color="auto"/>
            </w:tcBorders>
          </w:tcPr>
          <w:p>
            <w:pPr>
              <w:ind w:left="1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780" w:type="dxa"/>
            <w:vAlign w:val="bottom"/>
          </w:tcPr>
          <w:p>
            <w:pPr>
              <w:ind w:left="280"/>
              <w:spacing w:after="0"/>
              <w:rPr>
                <w:sz w:val="20"/>
                <w:szCs w:val="20"/>
                <w:color w:val="auto"/>
              </w:rPr>
            </w:pPr>
            <w:r>
              <w:rPr>
                <w:rFonts w:ascii="Arial" w:cs="Arial" w:eastAsia="Arial" w:hAnsi="Arial"/>
                <w:sz w:val="14"/>
                <w:szCs w:val="14"/>
                <w:color w:val="auto"/>
              </w:rPr>
              <w:t>Total</w:t>
            </w:r>
          </w:p>
        </w:tc>
        <w:tc>
          <w:tcPr>
            <w:tcW w:w="6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1,797,819,993</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1,797,819,993</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ind w:left="114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ind w:left="1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3440" w:type="dxa"/>
            <w:vAlign w:val="bottom"/>
            <w:gridSpan w:val="2"/>
            <w:vMerge w:val="restart"/>
          </w:tcPr>
          <w:p>
            <w:pPr>
              <w:ind w:left="200"/>
              <w:spacing w:after="0"/>
              <w:rPr>
                <w:sz w:val="20"/>
                <w:szCs w:val="20"/>
                <w:color w:val="auto"/>
              </w:rPr>
            </w:pPr>
            <w:r>
              <w:rPr>
                <w:rFonts w:ascii="Arial" w:cs="Arial" w:eastAsia="Arial" w:hAnsi="Arial"/>
                <w:sz w:val="14"/>
                <w:szCs w:val="14"/>
                <w:color w:val="auto"/>
                <w:w w:val="95"/>
              </w:rPr>
              <w:t>Interest in common/collective trusts, measured at NAV</w:t>
            </w: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5,681,355,879</w:t>
            </w:r>
          </w:p>
        </w:tc>
        <w:tc>
          <w:tcPr>
            <w:tcW w:w="2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4"/>
        </w:trPr>
        <w:tc>
          <w:tcPr>
            <w:tcW w:w="3440" w:type="dxa"/>
            <w:vAlign w:val="bottom"/>
            <w:gridSpan w:val="2"/>
            <w:vMerge w:val="continue"/>
          </w:tcPr>
          <w:p>
            <w:pPr>
              <w:spacing w:after="0"/>
              <w:rPr>
                <w:sz w:val="12"/>
                <w:szCs w:val="12"/>
                <w:color w:val="auto"/>
              </w:rPr>
            </w:pPr>
          </w:p>
        </w:tc>
        <w:tc>
          <w:tcPr>
            <w:tcW w:w="1360" w:type="dxa"/>
            <w:vAlign w:val="bottom"/>
            <w:tcBorders>
              <w:bottom w:val="single" w:sz="8" w:color="auto"/>
            </w:tcBorders>
            <w:vMerge w:val="continue"/>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780" w:type="dxa"/>
            <w:vAlign w:val="bottom"/>
          </w:tcPr>
          <w:p>
            <w:pPr>
              <w:ind w:left="280"/>
              <w:spacing w:after="0" w:line="122" w:lineRule="exact"/>
              <w:rPr>
                <w:sz w:val="20"/>
                <w:szCs w:val="20"/>
                <w:color w:val="auto"/>
              </w:rPr>
            </w:pPr>
            <w:r>
              <w:rPr>
                <w:rFonts w:ascii="Arial" w:cs="Arial" w:eastAsia="Arial" w:hAnsi="Arial"/>
                <w:sz w:val="14"/>
                <w:szCs w:val="14"/>
                <w:color w:val="auto"/>
              </w:rPr>
              <w:t>Total Master Trust investments</w:t>
            </w:r>
          </w:p>
        </w:tc>
        <w:tc>
          <w:tcPr>
            <w:tcW w:w="660" w:type="dxa"/>
            <w:vAlign w:val="bottom"/>
          </w:tcPr>
          <w:p>
            <w:pPr>
              <w:spacing w:after="0"/>
              <w:rPr>
                <w:sz w:val="10"/>
                <w:szCs w:val="10"/>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7,479,175,872</w:t>
            </w:r>
          </w:p>
        </w:tc>
        <w:tc>
          <w:tcPr>
            <w:tcW w:w="2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780" w:type="dxa"/>
            <w:vAlign w:val="bottom"/>
          </w:tcPr>
          <w:p>
            <w:pPr>
              <w:ind w:left="600"/>
              <w:spacing w:after="0"/>
              <w:rPr>
                <w:sz w:val="20"/>
                <w:szCs w:val="20"/>
                <w:color w:val="auto"/>
              </w:rPr>
            </w:pPr>
            <w:r>
              <w:rPr>
                <w:rFonts w:ascii="Arial" w:cs="Arial" w:eastAsia="Arial" w:hAnsi="Arial"/>
                <w:sz w:val="14"/>
                <w:szCs w:val="14"/>
                <w:color w:val="auto"/>
              </w:rPr>
              <w:t>at fair value</w:t>
            </w:r>
          </w:p>
        </w:tc>
        <w:tc>
          <w:tcPr>
            <w:tcW w:w="6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line="142" w:lineRule="exact"/>
              <w:rPr>
                <w:sz w:val="20"/>
                <w:szCs w:val="20"/>
                <w:color w:val="auto"/>
              </w:rPr>
            </w:pPr>
            <w:r>
              <w:rPr>
                <w:rFonts w:ascii="Arial" w:cs="Arial" w:eastAsia="Arial" w:hAnsi="Arial"/>
                <w:sz w:val="14"/>
                <w:szCs w:val="14"/>
                <w:color w:val="auto"/>
              </w:rPr>
              <w:t>Investments at contract value:</w:t>
            </w:r>
          </w:p>
        </w:tc>
        <w:tc>
          <w:tcPr>
            <w:tcW w:w="66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982,950,906</w:t>
            </w:r>
          </w:p>
        </w:tc>
        <w:tc>
          <w:tcPr>
            <w:tcW w:w="2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780" w:type="dxa"/>
            <w:vAlign w:val="bottom"/>
          </w:tcPr>
          <w:p>
            <w:pPr>
              <w:ind w:left="320"/>
              <w:spacing w:after="0"/>
              <w:rPr>
                <w:sz w:val="20"/>
                <w:szCs w:val="20"/>
                <w:color w:val="auto"/>
              </w:rPr>
            </w:pPr>
            <w:r>
              <w:rPr>
                <w:rFonts w:ascii="Arial" w:cs="Arial" w:eastAsia="Arial" w:hAnsi="Arial"/>
                <w:sz w:val="14"/>
                <w:szCs w:val="14"/>
                <w:color w:val="auto"/>
              </w:rPr>
              <w:t>Synthetic GICs</w:t>
            </w:r>
          </w:p>
        </w:tc>
        <w:tc>
          <w:tcPr>
            <w:tcW w:w="660" w:type="dxa"/>
            <w:vAlign w:val="bottom"/>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80" w:type="dxa"/>
            <w:vAlign w:val="bottom"/>
          </w:tcPr>
          <w:p>
            <w:pPr>
              <w:ind w:left="280"/>
              <w:spacing w:after="0"/>
              <w:rPr>
                <w:sz w:val="20"/>
                <w:szCs w:val="20"/>
                <w:color w:val="auto"/>
              </w:rPr>
            </w:pPr>
            <w:r>
              <w:rPr>
                <w:rFonts w:ascii="Arial" w:cs="Arial" w:eastAsia="Arial" w:hAnsi="Arial"/>
                <w:sz w:val="14"/>
                <w:szCs w:val="14"/>
                <w:color w:val="auto"/>
              </w:rPr>
              <w:t>Total Master Trust investments</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8,462,126,778</w:t>
            </w: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90" w:right="339" w:bottom="1440" w:gutter="0" w:footer="0" w:header="0"/>
        </w:sectPr>
      </w:pPr>
    </w:p>
    <w:bookmarkStart w:id="14" w:name="page15"/>
    <w:bookmarkEnd w:id="14"/>
    <w:p>
      <w:pPr>
        <w:jc w:val="center"/>
        <w:ind w:right="-99"/>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ind w:right="-99"/>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ind w:right="-99"/>
        <w:spacing w:after="0"/>
        <w:rPr>
          <w:sz w:val="20"/>
          <w:szCs w:val="20"/>
          <w:color w:val="auto"/>
        </w:rPr>
      </w:pPr>
      <w:r>
        <w:rPr>
          <w:rFonts w:ascii="Arial" w:cs="Arial" w:eastAsia="Arial" w:hAnsi="Arial"/>
          <w:sz w:val="25"/>
          <w:szCs w:val="25"/>
          <w:color w:val="auto"/>
        </w:rPr>
        <w:t>December 31, 2020 and 2019</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80"/>
        <w:spacing w:after="0" w:line="263" w:lineRule="auto"/>
        <w:rPr>
          <w:sz w:val="20"/>
          <w:szCs w:val="20"/>
          <w:color w:val="auto"/>
        </w:rPr>
      </w:pPr>
      <w:r>
        <w:rPr>
          <w:rFonts w:ascii="Arial" w:cs="Arial" w:eastAsia="Arial" w:hAnsi="Arial"/>
          <w:sz w:val="22"/>
          <w:szCs w:val="22"/>
          <w:color w:val="auto"/>
        </w:rPr>
        <w:t>The following table sets forth the net assets of the Master Trust and the Master Trust's assets carried at fair value as of December 31, 2019, by level, within the fair value hierarchy: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80" w:type="dxa"/>
            <w:vAlign w:val="bottom"/>
          </w:tcPr>
          <w:p>
            <w:pPr>
              <w:jc w:val="right"/>
              <w:ind w:right="308"/>
              <w:spacing w:after="0"/>
              <w:rPr>
                <w:sz w:val="20"/>
                <w:szCs w:val="20"/>
                <w:color w:val="auto"/>
              </w:rPr>
            </w:pPr>
            <w:r>
              <w:rPr>
                <w:rFonts w:ascii="Arial" w:cs="Arial" w:eastAsia="Arial" w:hAnsi="Arial"/>
                <w:sz w:val="14"/>
                <w:szCs w:val="14"/>
                <w:b w:val="1"/>
                <w:bCs w:val="1"/>
                <w:color w:val="auto"/>
              </w:rPr>
              <w:t>Master Trust</w:t>
            </w: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Balance</w:t>
            </w:r>
          </w:p>
        </w:tc>
        <w:tc>
          <w:tcPr>
            <w:tcW w:w="260" w:type="dxa"/>
            <w:vAlign w:val="bottom"/>
          </w:tcPr>
          <w:p>
            <w:pPr>
              <w:spacing w:after="0"/>
              <w:rPr>
                <w:sz w:val="16"/>
                <w:szCs w:val="16"/>
                <w:color w:val="auto"/>
              </w:rPr>
            </w:pPr>
          </w:p>
        </w:tc>
        <w:tc>
          <w:tcPr>
            <w:tcW w:w="16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6"/>
                <w:szCs w:val="16"/>
                <w:color w:val="auto"/>
              </w:rPr>
            </w:pP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6"/>
                <w:szCs w:val="16"/>
                <w:color w:val="auto"/>
              </w:rPr>
            </w:pPr>
          </w:p>
        </w:tc>
        <w:tc>
          <w:tcPr>
            <w:tcW w:w="13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3"/>
        </w:trPr>
        <w:tc>
          <w:tcPr>
            <w:tcW w:w="2700" w:type="dxa"/>
            <w:vAlign w:val="bottom"/>
          </w:tcPr>
          <w:p>
            <w:pPr>
              <w:spacing w:after="0"/>
              <w:rPr>
                <w:sz w:val="20"/>
                <w:szCs w:val="20"/>
                <w:color w:val="auto"/>
              </w:rPr>
            </w:pPr>
            <w:r>
              <w:rPr>
                <w:rFonts w:ascii="Arial" w:cs="Arial" w:eastAsia="Arial" w:hAnsi="Arial"/>
                <w:sz w:val="14"/>
                <w:szCs w:val="14"/>
                <w:color w:val="auto"/>
              </w:rPr>
              <w:t>nvestments at fair value:</w:t>
            </w:r>
          </w:p>
        </w:tc>
        <w:tc>
          <w:tcPr>
            <w:tcW w:w="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00" w:type="dxa"/>
            <w:vAlign w:val="bottom"/>
          </w:tcPr>
          <w:p>
            <w:pPr>
              <w:ind w:left="40"/>
              <w:spacing w:after="0"/>
              <w:rPr>
                <w:sz w:val="20"/>
                <w:szCs w:val="20"/>
                <w:color w:val="auto"/>
              </w:rPr>
            </w:pPr>
            <w:r>
              <w:rPr>
                <w:rFonts w:ascii="Arial" w:cs="Arial" w:eastAsia="Arial" w:hAnsi="Arial"/>
                <w:sz w:val="14"/>
                <w:szCs w:val="14"/>
                <w:color w:val="auto"/>
              </w:rPr>
              <w:t>Registered investment companies</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310,612,283</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310,612,283</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ind w:left="11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Pr>
          <w:p>
            <w:pPr>
              <w:ind w:left="1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700" w:type="dxa"/>
            <w:vAlign w:val="bottom"/>
          </w:tcPr>
          <w:p>
            <w:pPr>
              <w:ind w:left="40"/>
              <w:spacing w:after="0"/>
              <w:rPr>
                <w:sz w:val="20"/>
                <w:szCs w:val="20"/>
                <w:color w:val="auto"/>
              </w:rPr>
            </w:pPr>
            <w:r>
              <w:rPr>
                <w:rFonts w:ascii="Arial" w:cs="Arial" w:eastAsia="Arial" w:hAnsi="Arial"/>
                <w:sz w:val="14"/>
                <w:szCs w:val="14"/>
                <w:color w:val="auto"/>
              </w:rPr>
              <w:t>Self-directed brokerage accounts</w:t>
            </w:r>
          </w:p>
        </w:tc>
        <w:tc>
          <w:tcPr>
            <w:tcW w:w="64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226,385,301</w:t>
            </w: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226,385,301</w:t>
            </w:r>
          </w:p>
        </w:tc>
        <w:tc>
          <w:tcPr>
            <w:tcW w:w="280" w:type="dxa"/>
            <w:vAlign w:val="bottom"/>
          </w:tcPr>
          <w:p>
            <w:pPr>
              <w:spacing w:after="0"/>
              <w:rPr>
                <w:sz w:val="16"/>
                <w:szCs w:val="16"/>
                <w:color w:val="auto"/>
              </w:rPr>
            </w:pPr>
          </w:p>
        </w:tc>
        <w:tc>
          <w:tcPr>
            <w:tcW w:w="1360" w:type="dxa"/>
            <w:vAlign w:val="bottom"/>
          </w:tcPr>
          <w:p>
            <w:pPr>
              <w:ind w:left="1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380" w:type="dxa"/>
            <w:vAlign w:val="bottom"/>
          </w:tcPr>
          <w:p>
            <w:pPr>
              <w:ind w:left="1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700" w:type="dxa"/>
            <w:vAlign w:val="bottom"/>
          </w:tcPr>
          <w:p>
            <w:pPr>
              <w:ind w:left="40"/>
              <w:spacing w:after="0"/>
              <w:rPr>
                <w:sz w:val="20"/>
                <w:szCs w:val="20"/>
                <w:color w:val="auto"/>
              </w:rPr>
            </w:pPr>
            <w:r>
              <w:rPr>
                <w:rFonts w:ascii="Arial" w:cs="Arial" w:eastAsia="Arial" w:hAnsi="Arial"/>
                <w:sz w:val="14"/>
                <w:szCs w:val="14"/>
                <w:color w:val="auto"/>
              </w:rPr>
              <w:t>Eli Lilly and Company common stock</w:t>
            </w:r>
          </w:p>
        </w:tc>
        <w:tc>
          <w:tcPr>
            <w:tcW w:w="64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812,376,607</w:t>
            </w: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812,376,607</w:t>
            </w:r>
          </w:p>
        </w:tc>
        <w:tc>
          <w:tcPr>
            <w:tcW w:w="280" w:type="dxa"/>
            <w:vAlign w:val="bottom"/>
          </w:tcPr>
          <w:p>
            <w:pPr>
              <w:spacing w:after="0"/>
              <w:rPr>
                <w:sz w:val="16"/>
                <w:szCs w:val="16"/>
                <w:color w:val="auto"/>
              </w:rPr>
            </w:pPr>
          </w:p>
        </w:tc>
        <w:tc>
          <w:tcPr>
            <w:tcW w:w="1360" w:type="dxa"/>
            <w:vAlign w:val="bottom"/>
          </w:tcPr>
          <w:p>
            <w:pPr>
              <w:ind w:left="1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380" w:type="dxa"/>
            <w:vAlign w:val="bottom"/>
          </w:tcPr>
          <w:p>
            <w:pPr>
              <w:ind w:left="1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700" w:type="dxa"/>
            <w:vAlign w:val="bottom"/>
          </w:tcPr>
          <w:p>
            <w:pPr>
              <w:ind w:left="40"/>
              <w:spacing w:after="0"/>
              <w:rPr>
                <w:sz w:val="20"/>
                <w:szCs w:val="20"/>
                <w:color w:val="auto"/>
              </w:rPr>
            </w:pPr>
            <w:r>
              <w:rPr>
                <w:rFonts w:ascii="Arial" w:cs="Arial" w:eastAsia="Arial" w:hAnsi="Arial"/>
                <w:sz w:val="14"/>
                <w:szCs w:val="14"/>
                <w:color w:val="auto"/>
              </w:rPr>
              <w:t>Other common stock</w:t>
            </w:r>
          </w:p>
        </w:tc>
        <w:tc>
          <w:tcPr>
            <w:tcW w:w="640" w:type="dxa"/>
            <w:vAlign w:val="bottom"/>
          </w:tcPr>
          <w:p>
            <w:pPr>
              <w:spacing w:after="0"/>
              <w:rPr>
                <w:sz w:val="16"/>
                <w:szCs w:val="16"/>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83,605,604</w:t>
            </w:r>
          </w:p>
        </w:tc>
        <w:tc>
          <w:tcPr>
            <w:tcW w:w="260" w:type="dxa"/>
            <w:vAlign w:val="bottom"/>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83,605,604</w:t>
            </w:r>
          </w:p>
        </w:tc>
        <w:tc>
          <w:tcPr>
            <w:tcW w:w="280" w:type="dxa"/>
            <w:vAlign w:val="bottom"/>
          </w:tcPr>
          <w:p>
            <w:pPr>
              <w:spacing w:after="0"/>
              <w:rPr>
                <w:sz w:val="16"/>
                <w:szCs w:val="16"/>
                <w:color w:val="auto"/>
              </w:rPr>
            </w:pPr>
          </w:p>
        </w:tc>
        <w:tc>
          <w:tcPr>
            <w:tcW w:w="1360" w:type="dxa"/>
            <w:vAlign w:val="bottom"/>
            <w:tcBorders>
              <w:bottom w:val="single" w:sz="8" w:color="auto"/>
            </w:tcBorders>
          </w:tcPr>
          <w:p>
            <w:pPr>
              <w:ind w:left="1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380" w:type="dxa"/>
            <w:vAlign w:val="bottom"/>
            <w:tcBorders>
              <w:bottom w:val="single" w:sz="8" w:color="auto"/>
            </w:tcBorders>
          </w:tcPr>
          <w:p>
            <w:pPr>
              <w:ind w:left="1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700" w:type="dxa"/>
            <w:vAlign w:val="bottom"/>
          </w:tcPr>
          <w:p>
            <w:pPr>
              <w:ind w:left="200"/>
              <w:spacing w:after="0"/>
              <w:rPr>
                <w:sz w:val="20"/>
                <w:szCs w:val="20"/>
                <w:color w:val="auto"/>
              </w:rPr>
            </w:pPr>
            <w:r>
              <w:rPr>
                <w:rFonts w:ascii="Arial" w:cs="Arial" w:eastAsia="Arial" w:hAnsi="Arial"/>
                <w:sz w:val="14"/>
                <w:szCs w:val="14"/>
                <w:color w:val="auto"/>
              </w:rPr>
              <w:t>Total</w:t>
            </w:r>
          </w:p>
        </w:tc>
        <w:tc>
          <w:tcPr>
            <w:tcW w:w="64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1,432,979,795</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1,432,979,795</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ind w:left="11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ind w:left="1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3340" w:type="dxa"/>
            <w:vAlign w:val="bottom"/>
            <w:gridSpan w:val="2"/>
            <w:vMerge w:val="restart"/>
          </w:tcPr>
          <w:p>
            <w:pPr>
              <w:ind w:left="120"/>
              <w:spacing w:after="0"/>
              <w:rPr>
                <w:sz w:val="20"/>
                <w:szCs w:val="20"/>
                <w:color w:val="auto"/>
              </w:rPr>
            </w:pPr>
            <w:r>
              <w:rPr>
                <w:rFonts w:ascii="Arial" w:cs="Arial" w:eastAsia="Arial" w:hAnsi="Arial"/>
                <w:sz w:val="14"/>
                <w:szCs w:val="14"/>
                <w:color w:val="auto"/>
                <w:w w:val="94"/>
              </w:rPr>
              <w:t>Interest in common/collective trusts, measured at NAV</w:t>
            </w:r>
          </w:p>
        </w:tc>
        <w:tc>
          <w:tcPr>
            <w:tcW w:w="1380" w:type="dxa"/>
            <w:vAlign w:val="bottom"/>
            <w:vMerge w:val="restart"/>
          </w:tcPr>
          <w:p>
            <w:pPr>
              <w:jc w:val="right"/>
              <w:ind w:right="8"/>
              <w:spacing w:after="0"/>
              <w:rPr>
                <w:sz w:val="20"/>
                <w:szCs w:val="20"/>
                <w:color w:val="auto"/>
              </w:rPr>
            </w:pPr>
            <w:r>
              <w:rPr>
                <w:rFonts w:ascii="Arial" w:cs="Arial" w:eastAsia="Arial" w:hAnsi="Arial"/>
                <w:sz w:val="14"/>
                <w:szCs w:val="14"/>
                <w:color w:val="auto"/>
              </w:rPr>
              <w:t>5,449,782,283</w:t>
            </w:r>
          </w:p>
        </w:tc>
        <w:tc>
          <w:tcPr>
            <w:tcW w:w="2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4"/>
        </w:trPr>
        <w:tc>
          <w:tcPr>
            <w:tcW w:w="3340" w:type="dxa"/>
            <w:vAlign w:val="bottom"/>
            <w:gridSpan w:val="2"/>
            <w:vMerge w:val="continue"/>
          </w:tcPr>
          <w:p>
            <w:pPr>
              <w:spacing w:after="0"/>
              <w:rPr>
                <w:sz w:val="12"/>
                <w:szCs w:val="12"/>
                <w:color w:val="auto"/>
              </w:rPr>
            </w:pPr>
          </w:p>
        </w:tc>
        <w:tc>
          <w:tcPr>
            <w:tcW w:w="1380" w:type="dxa"/>
            <w:vAlign w:val="bottom"/>
            <w:tcBorders>
              <w:bottom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700" w:type="dxa"/>
            <w:vAlign w:val="bottom"/>
          </w:tcPr>
          <w:p>
            <w:pPr>
              <w:ind w:left="200"/>
              <w:spacing w:after="0" w:line="122" w:lineRule="exact"/>
              <w:rPr>
                <w:sz w:val="20"/>
                <w:szCs w:val="20"/>
                <w:color w:val="auto"/>
              </w:rPr>
            </w:pPr>
            <w:r>
              <w:rPr>
                <w:rFonts w:ascii="Arial" w:cs="Arial" w:eastAsia="Arial" w:hAnsi="Arial"/>
                <w:sz w:val="14"/>
                <w:szCs w:val="14"/>
                <w:color w:val="auto"/>
              </w:rPr>
              <w:t>Total Master Trust investments</w:t>
            </w:r>
          </w:p>
        </w:tc>
        <w:tc>
          <w:tcPr>
            <w:tcW w:w="640" w:type="dxa"/>
            <w:vAlign w:val="bottom"/>
          </w:tcPr>
          <w:p>
            <w:pPr>
              <w:spacing w:after="0"/>
              <w:rPr>
                <w:sz w:val="10"/>
                <w:szCs w:val="10"/>
                <w:color w:val="auto"/>
              </w:rPr>
            </w:pPr>
          </w:p>
        </w:tc>
        <w:tc>
          <w:tcPr>
            <w:tcW w:w="1380" w:type="dxa"/>
            <w:vAlign w:val="bottom"/>
            <w:vMerge w:val="restart"/>
          </w:tcPr>
          <w:p>
            <w:pPr>
              <w:jc w:val="right"/>
              <w:ind w:right="8"/>
              <w:spacing w:after="0"/>
              <w:rPr>
                <w:sz w:val="20"/>
                <w:szCs w:val="20"/>
                <w:color w:val="auto"/>
              </w:rPr>
            </w:pPr>
            <w:r>
              <w:rPr>
                <w:rFonts w:ascii="Arial" w:cs="Arial" w:eastAsia="Arial" w:hAnsi="Arial"/>
                <w:sz w:val="14"/>
                <w:szCs w:val="14"/>
                <w:color w:val="auto"/>
              </w:rPr>
              <w:t>6,882,762,078</w:t>
            </w:r>
          </w:p>
        </w:tc>
        <w:tc>
          <w:tcPr>
            <w:tcW w:w="2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700" w:type="dxa"/>
            <w:vAlign w:val="bottom"/>
          </w:tcPr>
          <w:p>
            <w:pPr>
              <w:ind w:left="520"/>
              <w:spacing w:after="0"/>
              <w:rPr>
                <w:sz w:val="20"/>
                <w:szCs w:val="20"/>
                <w:color w:val="auto"/>
              </w:rPr>
            </w:pPr>
            <w:r>
              <w:rPr>
                <w:rFonts w:ascii="Arial" w:cs="Arial" w:eastAsia="Arial" w:hAnsi="Arial"/>
                <w:sz w:val="14"/>
                <w:szCs w:val="14"/>
                <w:color w:val="auto"/>
              </w:rPr>
              <w:t>at fair value</w:t>
            </w:r>
          </w:p>
        </w:tc>
        <w:tc>
          <w:tcPr>
            <w:tcW w:w="64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00" w:type="dxa"/>
            <w:vAlign w:val="bottom"/>
          </w:tcPr>
          <w:p>
            <w:pPr>
              <w:spacing w:after="0" w:line="142" w:lineRule="exact"/>
              <w:rPr>
                <w:sz w:val="20"/>
                <w:szCs w:val="20"/>
                <w:color w:val="auto"/>
              </w:rPr>
            </w:pPr>
            <w:r>
              <w:rPr>
                <w:rFonts w:ascii="Arial" w:cs="Arial" w:eastAsia="Arial" w:hAnsi="Arial"/>
                <w:sz w:val="14"/>
                <w:szCs w:val="14"/>
                <w:color w:val="auto"/>
              </w:rPr>
              <w:t>nvestments at contract value:</w:t>
            </w:r>
          </w:p>
        </w:tc>
        <w:tc>
          <w:tcPr>
            <w:tcW w:w="640" w:type="dxa"/>
            <w:vAlign w:val="bottom"/>
          </w:tcPr>
          <w:p>
            <w:pPr>
              <w:spacing w:after="0"/>
              <w:rPr>
                <w:sz w:val="12"/>
                <w:szCs w:val="12"/>
                <w:color w:val="auto"/>
              </w:rPr>
            </w:pPr>
          </w:p>
        </w:tc>
        <w:tc>
          <w:tcPr>
            <w:tcW w:w="1380" w:type="dxa"/>
            <w:vAlign w:val="bottom"/>
            <w:vMerge w:val="restart"/>
          </w:tcPr>
          <w:p>
            <w:pPr>
              <w:jc w:val="right"/>
              <w:ind w:right="8"/>
              <w:spacing w:after="0"/>
              <w:rPr>
                <w:sz w:val="20"/>
                <w:szCs w:val="20"/>
                <w:color w:val="auto"/>
              </w:rPr>
            </w:pPr>
            <w:r>
              <w:rPr>
                <w:rFonts w:ascii="Arial" w:cs="Arial" w:eastAsia="Arial" w:hAnsi="Arial"/>
                <w:sz w:val="14"/>
                <w:szCs w:val="14"/>
                <w:color w:val="auto"/>
              </w:rPr>
              <w:t>917,357,460</w:t>
            </w:r>
          </w:p>
        </w:tc>
        <w:tc>
          <w:tcPr>
            <w:tcW w:w="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700" w:type="dxa"/>
            <w:vAlign w:val="bottom"/>
          </w:tcPr>
          <w:p>
            <w:pPr>
              <w:ind w:left="240"/>
              <w:spacing w:after="0"/>
              <w:rPr>
                <w:sz w:val="20"/>
                <w:szCs w:val="20"/>
                <w:color w:val="auto"/>
              </w:rPr>
            </w:pPr>
            <w:r>
              <w:rPr>
                <w:rFonts w:ascii="Arial" w:cs="Arial" w:eastAsia="Arial" w:hAnsi="Arial"/>
                <w:sz w:val="14"/>
                <w:szCs w:val="14"/>
                <w:color w:val="auto"/>
              </w:rPr>
              <w:t>Synthetic GICs</w:t>
            </w:r>
          </w:p>
        </w:tc>
        <w:tc>
          <w:tcPr>
            <w:tcW w:w="640" w:type="dxa"/>
            <w:vAlign w:val="bottom"/>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00" w:type="dxa"/>
            <w:vAlign w:val="bottom"/>
          </w:tcPr>
          <w:p>
            <w:pPr>
              <w:ind w:left="200"/>
              <w:spacing w:after="0"/>
              <w:rPr>
                <w:sz w:val="20"/>
                <w:szCs w:val="20"/>
                <w:color w:val="auto"/>
              </w:rPr>
            </w:pPr>
            <w:r>
              <w:rPr>
                <w:rFonts w:ascii="Arial" w:cs="Arial" w:eastAsia="Arial" w:hAnsi="Arial"/>
                <w:sz w:val="14"/>
                <w:szCs w:val="14"/>
                <w:color w:val="auto"/>
              </w:rPr>
              <w:t>Total Master Trust investments</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7,800,119,538</w:t>
            </w: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Note 5 - Income Tax Status</w:t>
      </w:r>
    </w:p>
    <w:p>
      <w:pPr>
        <w:spacing w:after="0" w:line="253" w:lineRule="exact"/>
        <w:rPr>
          <w:sz w:val="20"/>
          <w:szCs w:val="20"/>
          <w:color w:val="auto"/>
        </w:rPr>
      </w:pPr>
    </w:p>
    <w:p>
      <w:pPr>
        <w:jc w:val="both"/>
        <w:ind w:left="100"/>
        <w:spacing w:after="0" w:line="294" w:lineRule="auto"/>
        <w:rPr>
          <w:sz w:val="20"/>
          <w:szCs w:val="20"/>
          <w:color w:val="auto"/>
        </w:rPr>
      </w:pPr>
      <w:r>
        <w:rPr>
          <w:rFonts w:ascii="Arial" w:cs="Arial" w:eastAsia="Arial" w:hAnsi="Arial"/>
          <w:sz w:val="19"/>
          <w:szCs w:val="19"/>
          <w:color w:val="auto"/>
        </w:rPr>
        <w:t>The 401(k) Plan has received a determination letter from the IRS dated June 13, 2017, confirming generally that the 401(k) Plan meets the qualification requirements under Section 401(a) of the Internal Revenue Code (the Code) and, therefore, the related trust is exempt from taxation. Subsequent to the effective date of the determination letter, the 401(k) Plan was amended. Once qualified, the 401(k) Plan is required to operate in conformity with the Code to maintain its qualification. The plan administrator believes that the 401(k) Plan is being operated in compliance with applicable requirements of the Code and, therefore, believes that the 401(k) Plan remains qualified and the related trust is tax exempt.</w:t>
      </w:r>
    </w:p>
    <w:p>
      <w:pPr>
        <w:spacing w:after="0" w:line="190" w:lineRule="exact"/>
        <w:rPr>
          <w:sz w:val="20"/>
          <w:szCs w:val="20"/>
          <w:color w:val="auto"/>
        </w:rPr>
      </w:pPr>
    </w:p>
    <w:p>
      <w:pPr>
        <w:jc w:val="both"/>
        <w:ind w:left="100"/>
        <w:spacing w:after="0" w:line="260" w:lineRule="auto"/>
        <w:rPr>
          <w:sz w:val="20"/>
          <w:szCs w:val="20"/>
          <w:color w:val="auto"/>
        </w:rPr>
      </w:pPr>
      <w:r>
        <w:rPr>
          <w:rFonts w:ascii="Arial" w:cs="Arial" w:eastAsia="Arial" w:hAnsi="Arial"/>
          <w:sz w:val="21"/>
          <w:szCs w:val="21"/>
          <w:color w:val="auto"/>
        </w:rPr>
        <w:t>The Puerto Rico Plan received a determination letter from the Commonwealth of Puerto Rico’s Department of Treasury dated November 30, 2018, confirming generally that the Puerto Rico Plan meets the qualification requirements of Section 1081.01 of the Puerto Rico Internal Revenue Code of 2011 (the Puerto Rico Code). Subsequent to the effective date of the determination letter, the Puerto Rico Plan was amended. Once qualified, the Puerto Rico Plan is required to operate in conformity with the Puerto Rico Code to maintain its qualification. The plan administrator believes that the Puerto Rico Plan is being operated in compliance with applicable requirements of the Puerto Rico Code and, therefore, believes that the Puerto Rico Plan is qualified and the related trust is tax exempt.</w:t>
      </w:r>
    </w:p>
    <w:p>
      <w:pPr>
        <w:spacing w:after="0" w:line="221" w:lineRule="exact"/>
        <w:rPr>
          <w:sz w:val="20"/>
          <w:szCs w:val="20"/>
          <w:color w:val="auto"/>
        </w:rPr>
      </w:pPr>
    </w:p>
    <w:p>
      <w:pPr>
        <w:jc w:val="both"/>
        <w:ind w:left="100"/>
        <w:spacing w:after="0" w:line="253" w:lineRule="auto"/>
        <w:rPr>
          <w:sz w:val="20"/>
          <w:szCs w:val="20"/>
          <w:color w:val="auto"/>
        </w:rPr>
      </w:pPr>
      <w:r>
        <w:rPr>
          <w:rFonts w:ascii="Arial" w:cs="Arial" w:eastAsia="Arial" w:hAnsi="Arial"/>
          <w:sz w:val="22"/>
          <w:szCs w:val="22"/>
          <w:color w:val="auto"/>
        </w:rPr>
        <w:t>Accounting principles generally accepted in the United States require plan management to evaluate tax positions taken by the Plans and recognize a tax liability if the Plans have taken an uncertain position that more likely than not would not be sustained upon examination by the IRS. Plan management has analyzed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20" w:top="190"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December 31, 2020 and 2019</w:t>
      </w:r>
    </w:p>
    <w:p>
      <w:pPr>
        <w:spacing w:after="0" w:line="200" w:lineRule="exact"/>
        <w:rPr>
          <w:sz w:val="20"/>
          <w:szCs w:val="20"/>
          <w:color w:val="auto"/>
        </w:rPr>
      </w:pPr>
    </w:p>
    <w:p>
      <w:pPr>
        <w:spacing w:after="0" w:line="345"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the tax positions taken by the Plans and has concluded that there are no uncertain positions taken or expected to be taken. The Plans are subject to routine audits by taxing jurisdictions; however, there are currently no audits for any tax periods in progress.</w:t>
      </w: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Risks and Uncertainties</w:t>
      </w:r>
    </w:p>
    <w:p>
      <w:pPr>
        <w:spacing w:after="0" w:line="253"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Plans invest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 Transactions with Related Parties</w:t>
      </w:r>
    </w:p>
    <w:p>
      <w:pPr>
        <w:spacing w:after="0" w:line="266" w:lineRule="exact"/>
        <w:rPr>
          <w:sz w:val="20"/>
          <w:szCs w:val="20"/>
          <w:color w:val="auto"/>
        </w:rPr>
      </w:pPr>
    </w:p>
    <w:p>
      <w:pPr>
        <w:jc w:val="both"/>
        <w:ind w:right="20"/>
        <w:spacing w:after="0" w:line="271" w:lineRule="auto"/>
        <w:rPr>
          <w:sz w:val="20"/>
          <w:szCs w:val="20"/>
          <w:color w:val="auto"/>
        </w:rPr>
      </w:pPr>
      <w:r>
        <w:rPr>
          <w:rFonts w:ascii="Arial" w:cs="Arial" w:eastAsia="Arial" w:hAnsi="Arial"/>
          <w:sz w:val="21"/>
          <w:szCs w:val="21"/>
          <w:color w:val="auto"/>
        </w:rPr>
        <w:t>During 2020, the 401(k) Plan received approximately $16,443,000 in cash dividends from the Company on the common stock of the Company owned by the 401(k) Plan. During 2020, the Puerto Rico Plan received approximately $982,000 in cash dividends from the Company on the common stock of the Company owned by the Puerto Rico Plan.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90"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2020 and 2019</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 Reconciliation of the Financial Statements to Form 5500</w:t>
      </w:r>
    </w:p>
    <w:p>
      <w:pPr>
        <w:spacing w:after="0" w:line="266"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The following are reconciliations of net assets available for benefits as of December 31, 2020 and 2019, and the net increase in net assets available for benefits for the year ended December 31, 2020, with the corresponding amounts in the Form 5500.</w:t>
      </w:r>
    </w:p>
    <w:p>
      <w:pPr>
        <w:spacing w:after="0" w:line="157" w:lineRule="exact"/>
        <w:rPr>
          <w:sz w:val="20"/>
          <w:szCs w:val="20"/>
          <w:color w:val="auto"/>
        </w:rPr>
      </w:pPr>
    </w:p>
    <w:tbl>
      <w:tblPr>
        <w:tblLayout w:type="fixed"/>
        <w:tblInd w:w="100" w:type="dxa"/>
        <w:tblCellMar>
          <w:top w:w="0" w:type="dxa"/>
          <w:left w:w="0" w:type="dxa"/>
          <w:bottom w:w="0" w:type="dxa"/>
          <w:right w:w="0" w:type="dxa"/>
        </w:tblCellMar>
      </w:tblPr>
      <w:tr>
        <w:trPr>
          <w:trHeight w:val="259"/>
        </w:trPr>
        <w:tc>
          <w:tcPr>
            <w:tcW w:w="64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260" w:type="dxa"/>
            <w:vAlign w:val="bottom"/>
            <w:tcBorders>
              <w:bottom w:val="single" w:sz="8" w:color="auto"/>
            </w:tcBorders>
            <w:gridSpan w:val="4"/>
          </w:tcPr>
          <w:p>
            <w:pPr>
              <w:jc w:val="right"/>
              <w:ind w:right="1401"/>
              <w:spacing w:after="0"/>
              <w:rPr>
                <w:sz w:val="20"/>
                <w:szCs w:val="20"/>
                <w:color w:val="auto"/>
              </w:rPr>
            </w:pPr>
            <w:r>
              <w:rPr>
                <w:rFonts w:ascii="Arial" w:cs="Arial" w:eastAsia="Arial" w:hAnsi="Arial"/>
                <w:sz w:val="20"/>
                <w:szCs w:val="20"/>
                <w:b w:val="1"/>
                <w:bCs w:val="1"/>
                <w:color w:val="auto"/>
              </w:rPr>
              <w:t>December 31, 2020</w:t>
            </w:r>
          </w:p>
        </w:tc>
      </w:tr>
      <w:tr>
        <w:trPr>
          <w:trHeight w:val="250"/>
        </w:trPr>
        <w:tc>
          <w:tcPr>
            <w:tcW w:w="6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60" w:type="dxa"/>
            <w:vAlign w:val="bottom"/>
            <w:gridSpan w:val="2"/>
          </w:tcPr>
          <w:p>
            <w:pPr>
              <w:ind w:left="200"/>
              <w:spacing w:after="0"/>
              <w:rPr>
                <w:sz w:val="20"/>
                <w:szCs w:val="20"/>
                <w:color w:val="auto"/>
              </w:rPr>
            </w:pPr>
            <w:r>
              <w:rPr>
                <w:rFonts w:ascii="Arial" w:cs="Arial" w:eastAsia="Arial" w:hAnsi="Arial"/>
                <w:sz w:val="20"/>
                <w:szCs w:val="20"/>
                <w:b w:val="1"/>
                <w:bCs w:val="1"/>
                <w:color w:val="auto"/>
              </w:rPr>
              <w:t>401(k) Plan</w:t>
            </w:r>
          </w:p>
        </w:tc>
        <w:tc>
          <w:tcPr>
            <w:tcW w:w="240" w:type="dxa"/>
            <w:vAlign w:val="bottom"/>
          </w:tcPr>
          <w:p>
            <w:pPr>
              <w:spacing w:after="0"/>
              <w:rPr>
                <w:sz w:val="21"/>
                <w:szCs w:val="21"/>
                <w:color w:val="auto"/>
              </w:rPr>
            </w:pPr>
          </w:p>
        </w:tc>
        <w:tc>
          <w:tcPr>
            <w:tcW w:w="1960" w:type="dxa"/>
            <w:vAlign w:val="bottom"/>
          </w:tcPr>
          <w:p>
            <w:pPr>
              <w:jc w:val="right"/>
              <w:ind w:right="301"/>
              <w:spacing w:after="0"/>
              <w:rPr>
                <w:sz w:val="20"/>
                <w:szCs w:val="20"/>
                <w:color w:val="auto"/>
              </w:rPr>
            </w:pPr>
            <w:r>
              <w:rPr>
                <w:rFonts w:ascii="Arial" w:cs="Arial" w:eastAsia="Arial" w:hAnsi="Arial"/>
                <w:sz w:val="20"/>
                <w:szCs w:val="20"/>
                <w:b w:val="1"/>
                <w:bCs w:val="1"/>
                <w:color w:val="auto"/>
                <w:w w:val="96"/>
              </w:rPr>
              <w:t>Puerto Rico Plan</w:t>
            </w:r>
          </w:p>
        </w:tc>
      </w:tr>
      <w:tr>
        <w:trPr>
          <w:trHeight w:val="496"/>
        </w:trPr>
        <w:tc>
          <w:tcPr>
            <w:tcW w:w="6480" w:type="dxa"/>
            <w:vAlign w:val="bottom"/>
          </w:tcPr>
          <w:p>
            <w:pPr>
              <w:spacing w:after="0"/>
              <w:rPr>
                <w:sz w:val="20"/>
                <w:szCs w:val="20"/>
                <w:color w:val="auto"/>
              </w:rPr>
            </w:pPr>
            <w:r>
              <w:rPr>
                <w:rFonts w:ascii="Arial" w:cs="Arial" w:eastAsia="Arial" w:hAnsi="Arial"/>
                <w:sz w:val="20"/>
                <w:szCs w:val="20"/>
                <w:color w:val="auto"/>
              </w:rPr>
              <w:t>Net assets available for benefits at year end, as reported in the</w:t>
            </w:r>
          </w:p>
        </w:tc>
        <w:tc>
          <w:tcPr>
            <w:tcW w:w="34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r>
      <w:tr>
        <w:trPr>
          <w:trHeight w:val="243"/>
        </w:trPr>
        <w:tc>
          <w:tcPr>
            <w:tcW w:w="6480" w:type="dxa"/>
            <w:vAlign w:val="bottom"/>
          </w:tcPr>
          <w:p>
            <w:pPr>
              <w:ind w:left="140"/>
              <w:spacing w:after="0"/>
              <w:rPr>
                <w:sz w:val="20"/>
                <w:szCs w:val="20"/>
                <w:color w:val="auto"/>
              </w:rPr>
            </w:pPr>
            <w:r>
              <w:rPr>
                <w:rFonts w:ascii="Arial" w:cs="Arial" w:eastAsia="Arial" w:hAnsi="Arial"/>
                <w:sz w:val="20"/>
                <w:szCs w:val="20"/>
                <w:color w:val="auto"/>
              </w:rPr>
              <w:t>accompanying financial statements</w:t>
            </w: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1740" w:type="dxa"/>
            <w:vAlign w:val="bottom"/>
          </w:tcPr>
          <w:p>
            <w:pPr>
              <w:jc w:val="right"/>
              <w:spacing w:after="0"/>
              <w:rPr>
                <w:sz w:val="20"/>
                <w:szCs w:val="20"/>
                <w:color w:val="auto"/>
              </w:rPr>
            </w:pPr>
            <w:r>
              <w:rPr>
                <w:rFonts w:ascii="Arial" w:cs="Arial" w:eastAsia="Arial" w:hAnsi="Arial"/>
                <w:sz w:val="20"/>
                <w:szCs w:val="20"/>
                <w:color w:val="auto"/>
              </w:rPr>
              <w:t>8,222,383,401</w:t>
            </w:r>
          </w:p>
        </w:tc>
        <w:tc>
          <w:tcPr>
            <w:tcW w:w="320" w:type="dxa"/>
            <w:vAlign w:val="bottom"/>
          </w:tcPr>
          <w:p>
            <w:pPr>
              <w:spacing w:after="0"/>
              <w:rPr>
                <w:sz w:val="21"/>
                <w:szCs w:val="21"/>
                <w:color w:val="auto"/>
              </w:rPr>
            </w:pPr>
          </w:p>
        </w:tc>
        <w:tc>
          <w:tcPr>
            <w:tcW w:w="240" w:type="dxa"/>
            <w:vAlign w:val="bottom"/>
          </w:tcPr>
          <w:p>
            <w:pPr>
              <w:jc w:val="right"/>
              <w:ind w:right="41"/>
              <w:spacing w:after="0"/>
              <w:rPr>
                <w:sz w:val="20"/>
                <w:szCs w:val="20"/>
                <w:color w:val="auto"/>
              </w:rPr>
            </w:pPr>
            <w:r>
              <w:rPr>
                <w:rFonts w:ascii="Arial" w:cs="Arial" w:eastAsia="Arial" w:hAnsi="Arial"/>
                <w:sz w:val="20"/>
                <w:szCs w:val="20"/>
                <w:color w:val="auto"/>
                <w:w w:val="71"/>
              </w:rPr>
              <w:t>$</w:t>
            </w:r>
          </w:p>
        </w:tc>
        <w:tc>
          <w:tcPr>
            <w:tcW w:w="1960" w:type="dxa"/>
            <w:vAlign w:val="bottom"/>
          </w:tcPr>
          <w:p>
            <w:pPr>
              <w:jc w:val="right"/>
              <w:ind w:right="1"/>
              <w:spacing w:after="0"/>
              <w:rPr>
                <w:sz w:val="20"/>
                <w:szCs w:val="20"/>
                <w:color w:val="auto"/>
              </w:rPr>
            </w:pPr>
            <w:r>
              <w:rPr>
                <w:rFonts w:ascii="Arial" w:cs="Arial" w:eastAsia="Arial" w:hAnsi="Arial"/>
                <w:sz w:val="20"/>
                <w:szCs w:val="20"/>
                <w:color w:val="auto"/>
              </w:rPr>
              <w:t>274,479,904</w:t>
            </w:r>
          </w:p>
        </w:tc>
      </w:tr>
      <w:tr>
        <w:trPr>
          <w:trHeight w:val="246"/>
        </w:trPr>
        <w:tc>
          <w:tcPr>
            <w:tcW w:w="6480" w:type="dxa"/>
            <w:vAlign w:val="bottom"/>
          </w:tcPr>
          <w:p>
            <w:pPr>
              <w:spacing w:after="0"/>
              <w:rPr>
                <w:sz w:val="20"/>
                <w:szCs w:val="20"/>
                <w:color w:val="auto"/>
              </w:rPr>
            </w:pPr>
            <w:r>
              <w:rPr>
                <w:rFonts w:ascii="Arial" w:cs="Arial" w:eastAsia="Arial" w:hAnsi="Arial"/>
                <w:sz w:val="20"/>
                <w:szCs w:val="20"/>
                <w:color w:val="auto"/>
              </w:rPr>
              <w:t>Distributions accrued on Form 5500 at year end</w:t>
            </w:r>
          </w:p>
        </w:tc>
        <w:tc>
          <w:tcPr>
            <w:tcW w:w="3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(1,675,720)</w:t>
            </w:r>
          </w:p>
        </w:tc>
        <w:tc>
          <w:tcPr>
            <w:tcW w:w="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(125,531)</w:t>
            </w:r>
          </w:p>
        </w:tc>
      </w:tr>
      <w:tr>
        <w:trPr>
          <w:trHeight w:val="236"/>
        </w:trPr>
        <w:tc>
          <w:tcPr>
            <w:tcW w:w="6480" w:type="dxa"/>
            <w:vAlign w:val="bottom"/>
          </w:tcPr>
          <w:p>
            <w:pPr>
              <w:spacing w:after="0"/>
              <w:rPr>
                <w:sz w:val="20"/>
                <w:szCs w:val="20"/>
                <w:color w:val="auto"/>
              </w:rPr>
            </w:pPr>
            <w:r>
              <w:rPr>
                <w:rFonts w:ascii="Arial" w:cs="Arial" w:eastAsia="Arial" w:hAnsi="Arial"/>
                <w:sz w:val="20"/>
                <w:szCs w:val="20"/>
                <w:color w:val="auto"/>
              </w:rPr>
              <w:t>Net assets available for benefits per Form 5500</w:t>
            </w:r>
          </w:p>
        </w:tc>
        <w:tc>
          <w:tcPr>
            <w:tcW w:w="34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8,220,707,681</w:t>
            </w:r>
          </w:p>
        </w:tc>
        <w:tc>
          <w:tcPr>
            <w:tcW w:w="320" w:type="dxa"/>
            <w:vAlign w:val="bottom"/>
          </w:tcPr>
          <w:p>
            <w:pPr>
              <w:spacing w:after="0"/>
              <w:rPr>
                <w:sz w:val="20"/>
                <w:szCs w:val="20"/>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19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274,354,373</w:t>
            </w:r>
          </w:p>
        </w:tc>
      </w:tr>
      <w:tr>
        <w:trPr>
          <w:trHeight w:val="21"/>
        </w:trPr>
        <w:tc>
          <w:tcPr>
            <w:tcW w:w="6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100" w:type="dxa"/>
        <w:tblCellMar>
          <w:top w:w="0" w:type="dxa"/>
          <w:left w:w="0" w:type="dxa"/>
          <w:bottom w:w="0" w:type="dxa"/>
          <w:right w:w="0" w:type="dxa"/>
        </w:tblCellMar>
      </w:tblPr>
      <w:tr>
        <w:trPr>
          <w:trHeight w:val="259"/>
        </w:trPr>
        <w:tc>
          <w:tcPr>
            <w:tcW w:w="64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260" w:type="dxa"/>
            <w:vAlign w:val="bottom"/>
            <w:tcBorders>
              <w:bottom w:val="single" w:sz="8" w:color="auto"/>
            </w:tcBorders>
            <w:gridSpan w:val="4"/>
          </w:tcPr>
          <w:p>
            <w:pPr>
              <w:jc w:val="right"/>
              <w:ind w:right="1401"/>
              <w:spacing w:after="0"/>
              <w:rPr>
                <w:sz w:val="20"/>
                <w:szCs w:val="20"/>
                <w:color w:val="auto"/>
              </w:rPr>
            </w:pPr>
            <w:r>
              <w:rPr>
                <w:rFonts w:ascii="Arial" w:cs="Arial" w:eastAsia="Arial" w:hAnsi="Arial"/>
                <w:sz w:val="20"/>
                <w:szCs w:val="20"/>
                <w:b w:val="1"/>
                <w:bCs w:val="1"/>
                <w:color w:val="auto"/>
              </w:rPr>
              <w:t>December 31, 2019</w:t>
            </w:r>
          </w:p>
        </w:tc>
      </w:tr>
      <w:tr>
        <w:trPr>
          <w:trHeight w:val="250"/>
        </w:trPr>
        <w:tc>
          <w:tcPr>
            <w:tcW w:w="6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60" w:type="dxa"/>
            <w:vAlign w:val="bottom"/>
            <w:gridSpan w:val="2"/>
          </w:tcPr>
          <w:p>
            <w:pPr>
              <w:ind w:left="200"/>
              <w:spacing w:after="0"/>
              <w:rPr>
                <w:sz w:val="20"/>
                <w:szCs w:val="20"/>
                <w:color w:val="auto"/>
              </w:rPr>
            </w:pPr>
            <w:r>
              <w:rPr>
                <w:rFonts w:ascii="Arial" w:cs="Arial" w:eastAsia="Arial" w:hAnsi="Arial"/>
                <w:sz w:val="20"/>
                <w:szCs w:val="20"/>
                <w:b w:val="1"/>
                <w:bCs w:val="1"/>
                <w:color w:val="auto"/>
              </w:rPr>
              <w:t>401(k) Plan</w:t>
            </w:r>
          </w:p>
        </w:tc>
        <w:tc>
          <w:tcPr>
            <w:tcW w:w="240" w:type="dxa"/>
            <w:vAlign w:val="bottom"/>
          </w:tcPr>
          <w:p>
            <w:pPr>
              <w:spacing w:after="0"/>
              <w:rPr>
                <w:sz w:val="21"/>
                <w:szCs w:val="21"/>
                <w:color w:val="auto"/>
              </w:rPr>
            </w:pPr>
          </w:p>
        </w:tc>
        <w:tc>
          <w:tcPr>
            <w:tcW w:w="1960" w:type="dxa"/>
            <w:vAlign w:val="bottom"/>
          </w:tcPr>
          <w:p>
            <w:pPr>
              <w:jc w:val="right"/>
              <w:ind w:right="301"/>
              <w:spacing w:after="0"/>
              <w:rPr>
                <w:sz w:val="20"/>
                <w:szCs w:val="20"/>
                <w:color w:val="auto"/>
              </w:rPr>
            </w:pPr>
            <w:r>
              <w:rPr>
                <w:rFonts w:ascii="Arial" w:cs="Arial" w:eastAsia="Arial" w:hAnsi="Arial"/>
                <w:sz w:val="20"/>
                <w:szCs w:val="20"/>
                <w:b w:val="1"/>
                <w:bCs w:val="1"/>
                <w:color w:val="auto"/>
                <w:w w:val="96"/>
              </w:rPr>
              <w:t>Puerto Rico Plan</w:t>
            </w:r>
          </w:p>
        </w:tc>
      </w:tr>
      <w:tr>
        <w:trPr>
          <w:trHeight w:val="496"/>
        </w:trPr>
        <w:tc>
          <w:tcPr>
            <w:tcW w:w="6480" w:type="dxa"/>
            <w:vAlign w:val="bottom"/>
          </w:tcPr>
          <w:p>
            <w:pPr>
              <w:spacing w:after="0"/>
              <w:rPr>
                <w:sz w:val="20"/>
                <w:szCs w:val="20"/>
                <w:color w:val="auto"/>
              </w:rPr>
            </w:pPr>
            <w:r>
              <w:rPr>
                <w:rFonts w:ascii="Arial" w:cs="Arial" w:eastAsia="Arial" w:hAnsi="Arial"/>
                <w:sz w:val="20"/>
                <w:szCs w:val="20"/>
                <w:color w:val="auto"/>
              </w:rPr>
              <w:t>Net assets available for benefits at year end, as reported in the</w:t>
            </w:r>
          </w:p>
        </w:tc>
        <w:tc>
          <w:tcPr>
            <w:tcW w:w="34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r>
      <w:tr>
        <w:trPr>
          <w:trHeight w:val="243"/>
        </w:trPr>
        <w:tc>
          <w:tcPr>
            <w:tcW w:w="6480" w:type="dxa"/>
            <w:vAlign w:val="bottom"/>
          </w:tcPr>
          <w:p>
            <w:pPr>
              <w:ind w:left="140"/>
              <w:spacing w:after="0"/>
              <w:rPr>
                <w:sz w:val="20"/>
                <w:szCs w:val="20"/>
                <w:color w:val="auto"/>
              </w:rPr>
            </w:pPr>
            <w:r>
              <w:rPr>
                <w:rFonts w:ascii="Arial" w:cs="Arial" w:eastAsia="Arial" w:hAnsi="Arial"/>
                <w:sz w:val="20"/>
                <w:szCs w:val="20"/>
                <w:color w:val="auto"/>
              </w:rPr>
              <w:t>accompanying financial statements</w:t>
            </w: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1740" w:type="dxa"/>
            <w:vAlign w:val="bottom"/>
          </w:tcPr>
          <w:p>
            <w:pPr>
              <w:jc w:val="right"/>
              <w:spacing w:after="0"/>
              <w:rPr>
                <w:sz w:val="20"/>
                <w:szCs w:val="20"/>
                <w:color w:val="auto"/>
              </w:rPr>
            </w:pPr>
            <w:r>
              <w:rPr>
                <w:rFonts w:ascii="Arial" w:cs="Arial" w:eastAsia="Arial" w:hAnsi="Arial"/>
                <w:sz w:val="20"/>
                <w:szCs w:val="20"/>
                <w:color w:val="auto"/>
              </w:rPr>
              <w:t>7,216,293,877</w:t>
            </w:r>
          </w:p>
        </w:tc>
        <w:tc>
          <w:tcPr>
            <w:tcW w:w="320" w:type="dxa"/>
            <w:vAlign w:val="bottom"/>
          </w:tcPr>
          <w:p>
            <w:pPr>
              <w:spacing w:after="0"/>
              <w:rPr>
                <w:sz w:val="21"/>
                <w:szCs w:val="21"/>
                <w:color w:val="auto"/>
              </w:rPr>
            </w:pPr>
          </w:p>
        </w:tc>
        <w:tc>
          <w:tcPr>
            <w:tcW w:w="240" w:type="dxa"/>
            <w:vAlign w:val="bottom"/>
          </w:tcPr>
          <w:p>
            <w:pPr>
              <w:jc w:val="right"/>
              <w:ind w:right="41"/>
              <w:spacing w:after="0"/>
              <w:rPr>
                <w:sz w:val="20"/>
                <w:szCs w:val="20"/>
                <w:color w:val="auto"/>
              </w:rPr>
            </w:pPr>
            <w:r>
              <w:rPr>
                <w:rFonts w:ascii="Arial" w:cs="Arial" w:eastAsia="Arial" w:hAnsi="Arial"/>
                <w:sz w:val="20"/>
                <w:szCs w:val="20"/>
                <w:color w:val="auto"/>
                <w:w w:val="71"/>
              </w:rPr>
              <w:t>$</w:t>
            </w:r>
          </w:p>
        </w:tc>
        <w:tc>
          <w:tcPr>
            <w:tcW w:w="1960" w:type="dxa"/>
            <w:vAlign w:val="bottom"/>
          </w:tcPr>
          <w:p>
            <w:pPr>
              <w:jc w:val="right"/>
              <w:ind w:right="1"/>
              <w:spacing w:after="0"/>
              <w:rPr>
                <w:sz w:val="20"/>
                <w:szCs w:val="20"/>
                <w:color w:val="auto"/>
              </w:rPr>
            </w:pPr>
            <w:r>
              <w:rPr>
                <w:rFonts w:ascii="Arial" w:cs="Arial" w:eastAsia="Arial" w:hAnsi="Arial"/>
                <w:sz w:val="20"/>
                <w:szCs w:val="20"/>
                <w:color w:val="auto"/>
              </w:rPr>
              <w:t>245,512,702</w:t>
            </w:r>
          </w:p>
        </w:tc>
      </w:tr>
      <w:tr>
        <w:trPr>
          <w:trHeight w:val="246"/>
        </w:trPr>
        <w:tc>
          <w:tcPr>
            <w:tcW w:w="6480" w:type="dxa"/>
            <w:vAlign w:val="bottom"/>
          </w:tcPr>
          <w:p>
            <w:pPr>
              <w:spacing w:after="0"/>
              <w:rPr>
                <w:sz w:val="20"/>
                <w:szCs w:val="20"/>
                <w:color w:val="auto"/>
              </w:rPr>
            </w:pPr>
            <w:r>
              <w:rPr>
                <w:rFonts w:ascii="Arial" w:cs="Arial" w:eastAsia="Arial" w:hAnsi="Arial"/>
                <w:sz w:val="20"/>
                <w:szCs w:val="20"/>
                <w:color w:val="auto"/>
              </w:rPr>
              <w:t>Distributions accrued on Form 5500 at year end</w:t>
            </w:r>
          </w:p>
        </w:tc>
        <w:tc>
          <w:tcPr>
            <w:tcW w:w="3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(2,726,758)</w:t>
            </w:r>
          </w:p>
        </w:tc>
        <w:tc>
          <w:tcPr>
            <w:tcW w:w="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(14,084)</w:t>
            </w:r>
          </w:p>
        </w:tc>
      </w:tr>
      <w:tr>
        <w:trPr>
          <w:trHeight w:val="237"/>
        </w:trPr>
        <w:tc>
          <w:tcPr>
            <w:tcW w:w="6480" w:type="dxa"/>
            <w:vAlign w:val="bottom"/>
          </w:tcPr>
          <w:p>
            <w:pPr>
              <w:spacing w:after="0"/>
              <w:rPr>
                <w:sz w:val="20"/>
                <w:szCs w:val="20"/>
                <w:color w:val="auto"/>
              </w:rPr>
            </w:pPr>
            <w:r>
              <w:rPr>
                <w:rFonts w:ascii="Arial" w:cs="Arial" w:eastAsia="Arial" w:hAnsi="Arial"/>
                <w:sz w:val="20"/>
                <w:szCs w:val="20"/>
                <w:color w:val="auto"/>
              </w:rPr>
              <w:t>Net assets available for benefits per Form 5500</w:t>
            </w:r>
          </w:p>
        </w:tc>
        <w:tc>
          <w:tcPr>
            <w:tcW w:w="34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7,213,567,119</w:t>
            </w:r>
          </w:p>
        </w:tc>
        <w:tc>
          <w:tcPr>
            <w:tcW w:w="320" w:type="dxa"/>
            <w:vAlign w:val="bottom"/>
          </w:tcPr>
          <w:p>
            <w:pPr>
              <w:spacing w:after="0"/>
              <w:rPr>
                <w:sz w:val="20"/>
                <w:szCs w:val="20"/>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19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245,498,618</w:t>
            </w:r>
          </w:p>
        </w:tc>
      </w:tr>
      <w:tr>
        <w:trPr>
          <w:trHeight w:val="20"/>
        </w:trPr>
        <w:tc>
          <w:tcPr>
            <w:tcW w:w="6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259"/>
        </w:trPr>
        <w:tc>
          <w:tcPr>
            <w:tcW w:w="68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4060" w:type="dxa"/>
            <w:vAlign w:val="bottom"/>
            <w:tcBorders>
              <w:bottom w:val="single" w:sz="8" w:color="auto"/>
            </w:tcBorders>
            <w:gridSpan w:val="4"/>
          </w:tcPr>
          <w:p>
            <w:pPr>
              <w:jc w:val="right"/>
              <w:ind w:right="781"/>
              <w:spacing w:after="0"/>
              <w:rPr>
                <w:sz w:val="20"/>
                <w:szCs w:val="20"/>
                <w:color w:val="auto"/>
              </w:rPr>
            </w:pPr>
            <w:r>
              <w:rPr>
                <w:rFonts w:ascii="Arial" w:cs="Arial" w:eastAsia="Arial" w:hAnsi="Arial"/>
                <w:sz w:val="20"/>
                <w:szCs w:val="20"/>
                <w:b w:val="1"/>
                <w:bCs w:val="1"/>
                <w:color w:val="auto"/>
              </w:rPr>
              <w:t>Year Ended December 31, 2020</w:t>
            </w:r>
          </w:p>
        </w:tc>
        <w:tc>
          <w:tcPr>
            <w:tcW w:w="0" w:type="dxa"/>
            <w:vAlign w:val="bottom"/>
          </w:tcPr>
          <w:p>
            <w:pPr>
              <w:spacing w:after="0"/>
              <w:rPr>
                <w:sz w:val="1"/>
                <w:szCs w:val="1"/>
                <w:color w:val="auto"/>
              </w:rPr>
            </w:pPr>
          </w:p>
        </w:tc>
      </w:tr>
      <w:tr>
        <w:trPr>
          <w:trHeight w:val="250"/>
        </w:trPr>
        <w:tc>
          <w:tcPr>
            <w:tcW w:w="6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20" w:type="dxa"/>
            <w:vAlign w:val="bottom"/>
            <w:gridSpan w:val="2"/>
          </w:tcPr>
          <w:p>
            <w:pPr>
              <w:ind w:left="220"/>
              <w:spacing w:after="0"/>
              <w:rPr>
                <w:sz w:val="20"/>
                <w:szCs w:val="20"/>
                <w:color w:val="auto"/>
              </w:rPr>
            </w:pPr>
            <w:r>
              <w:rPr>
                <w:rFonts w:ascii="Arial" w:cs="Arial" w:eastAsia="Arial" w:hAnsi="Arial"/>
                <w:sz w:val="20"/>
                <w:szCs w:val="20"/>
                <w:b w:val="1"/>
                <w:bCs w:val="1"/>
                <w:color w:val="auto"/>
              </w:rPr>
              <w:t>401(k) Plan</w:t>
            </w:r>
          </w:p>
        </w:tc>
        <w:tc>
          <w:tcPr>
            <w:tcW w:w="180" w:type="dxa"/>
            <w:vAlign w:val="bottom"/>
          </w:tcPr>
          <w:p>
            <w:pPr>
              <w:spacing w:after="0"/>
              <w:rPr>
                <w:sz w:val="21"/>
                <w:szCs w:val="21"/>
                <w:color w:val="auto"/>
              </w:rPr>
            </w:pPr>
          </w:p>
        </w:tc>
        <w:tc>
          <w:tcPr>
            <w:tcW w:w="1760" w:type="dxa"/>
            <w:vAlign w:val="bottom"/>
          </w:tcPr>
          <w:p>
            <w:pPr>
              <w:jc w:val="right"/>
              <w:ind w:right="161"/>
              <w:spacing w:after="0"/>
              <w:rPr>
                <w:sz w:val="20"/>
                <w:szCs w:val="20"/>
                <w:color w:val="auto"/>
              </w:rPr>
            </w:pPr>
            <w:r>
              <w:rPr>
                <w:rFonts w:ascii="Arial" w:cs="Arial" w:eastAsia="Arial" w:hAnsi="Arial"/>
                <w:sz w:val="20"/>
                <w:szCs w:val="20"/>
                <w:b w:val="1"/>
                <w:bCs w:val="1"/>
                <w:color w:val="auto"/>
                <w:w w:val="92"/>
              </w:rPr>
              <w:t>Puerto Rico Plan</w:t>
            </w:r>
          </w:p>
        </w:tc>
        <w:tc>
          <w:tcPr>
            <w:tcW w:w="0" w:type="dxa"/>
            <w:vAlign w:val="bottom"/>
          </w:tcPr>
          <w:p>
            <w:pPr>
              <w:spacing w:after="0"/>
              <w:rPr>
                <w:sz w:val="1"/>
                <w:szCs w:val="1"/>
                <w:color w:val="auto"/>
              </w:rPr>
            </w:pPr>
          </w:p>
        </w:tc>
      </w:tr>
      <w:tr>
        <w:trPr>
          <w:trHeight w:val="445"/>
        </w:trPr>
        <w:tc>
          <w:tcPr>
            <w:tcW w:w="6800" w:type="dxa"/>
            <w:vAlign w:val="bottom"/>
          </w:tcPr>
          <w:p>
            <w:pPr>
              <w:spacing w:after="0"/>
              <w:rPr>
                <w:sz w:val="20"/>
                <w:szCs w:val="20"/>
                <w:color w:val="auto"/>
              </w:rPr>
            </w:pPr>
            <w:r>
              <w:rPr>
                <w:rFonts w:ascii="Arial" w:cs="Arial" w:eastAsia="Arial" w:hAnsi="Arial"/>
                <w:sz w:val="20"/>
                <w:szCs w:val="20"/>
                <w:color w:val="auto"/>
              </w:rPr>
              <w:t>Net increase in net assets available for benefits, as</w:t>
            </w:r>
          </w:p>
        </w:tc>
        <w:tc>
          <w:tcPr>
            <w:tcW w:w="360" w:type="dxa"/>
            <w:vAlign w:val="bottom"/>
            <w:tcBorders>
              <w:top w:val="single" w:sz="8" w:color="auto"/>
            </w:tcBorders>
            <w:vMerge w:val="restart"/>
          </w:tcPr>
          <w:p>
            <w:pPr>
              <w:jc w:val="right"/>
              <w:ind w:right="141"/>
              <w:spacing w:after="0"/>
              <w:rPr>
                <w:sz w:val="20"/>
                <w:szCs w:val="20"/>
                <w:color w:val="auto"/>
              </w:rPr>
            </w:pPr>
            <w:r>
              <w:rPr>
                <w:rFonts w:ascii="Arial" w:cs="Arial" w:eastAsia="Arial" w:hAnsi="Arial"/>
                <w:sz w:val="20"/>
                <w:szCs w:val="20"/>
                <w:color w:val="auto"/>
                <w:w w:val="89"/>
              </w:rPr>
              <w:t>$</w:t>
            </w:r>
          </w:p>
        </w:tc>
        <w:tc>
          <w:tcPr>
            <w:tcW w:w="178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1,006,089,524</w:t>
            </w:r>
          </w:p>
        </w:tc>
        <w:tc>
          <w:tcPr>
            <w:tcW w:w="340" w:type="dxa"/>
            <w:vAlign w:val="bottom"/>
          </w:tcPr>
          <w:p>
            <w:pPr>
              <w:spacing w:after="0"/>
              <w:rPr>
                <w:sz w:val="24"/>
                <w:szCs w:val="24"/>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w w:val="89"/>
              </w:rPr>
              <w:t>$</w:t>
            </w:r>
          </w:p>
        </w:tc>
        <w:tc>
          <w:tcPr>
            <w:tcW w:w="176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28,967,202</w:t>
            </w:r>
          </w:p>
        </w:tc>
        <w:tc>
          <w:tcPr>
            <w:tcW w:w="0" w:type="dxa"/>
            <w:vAlign w:val="bottom"/>
          </w:tcPr>
          <w:p>
            <w:pPr>
              <w:spacing w:after="0"/>
              <w:rPr>
                <w:sz w:val="1"/>
                <w:szCs w:val="1"/>
                <w:color w:val="auto"/>
              </w:rPr>
            </w:pPr>
          </w:p>
        </w:tc>
      </w:tr>
      <w:tr>
        <w:trPr>
          <w:trHeight w:val="240"/>
        </w:trPr>
        <w:tc>
          <w:tcPr>
            <w:tcW w:w="6800" w:type="dxa"/>
            <w:vAlign w:val="bottom"/>
          </w:tcPr>
          <w:p>
            <w:pPr>
              <w:ind w:left="160"/>
              <w:spacing w:after="0"/>
              <w:rPr>
                <w:sz w:val="20"/>
                <w:szCs w:val="20"/>
                <w:color w:val="auto"/>
              </w:rPr>
            </w:pPr>
            <w:r>
              <w:rPr>
                <w:rFonts w:ascii="Arial" w:cs="Arial" w:eastAsia="Arial" w:hAnsi="Arial"/>
                <w:sz w:val="20"/>
                <w:szCs w:val="20"/>
                <w:color w:val="auto"/>
              </w:rPr>
              <w:t>reported in the accompanying financial statements</w:t>
            </w:r>
          </w:p>
        </w:tc>
        <w:tc>
          <w:tcPr>
            <w:tcW w:w="360" w:type="dxa"/>
            <w:vAlign w:val="bottom"/>
            <w:vMerge w:val="continue"/>
          </w:tcPr>
          <w:p>
            <w:pPr>
              <w:spacing w:after="0"/>
              <w:rPr>
                <w:sz w:val="20"/>
                <w:szCs w:val="20"/>
                <w:color w:val="auto"/>
              </w:rPr>
            </w:pPr>
          </w:p>
        </w:tc>
        <w:tc>
          <w:tcPr>
            <w:tcW w:w="17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1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0"/>
                <w:szCs w:val="20"/>
                <w:color w:val="auto"/>
              </w:rPr>
            </w:pPr>
            <w:r>
              <w:rPr>
                <w:rFonts w:ascii="Arial" w:cs="Arial" w:eastAsia="Arial" w:hAnsi="Arial"/>
                <w:sz w:val="20"/>
                <w:szCs w:val="20"/>
                <w:color w:val="auto"/>
              </w:rPr>
              <w:t>Distributions accrued on Form 5500 at December 31, 2020</w:t>
            </w:r>
          </w:p>
        </w:tc>
        <w:tc>
          <w:tcPr>
            <w:tcW w:w="3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(1,675,720)</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(125,531)</w:t>
            </w:r>
          </w:p>
        </w:tc>
        <w:tc>
          <w:tcPr>
            <w:tcW w:w="0" w:type="dxa"/>
            <w:vAlign w:val="bottom"/>
          </w:tcPr>
          <w:p>
            <w:pPr>
              <w:spacing w:after="0"/>
              <w:rPr>
                <w:sz w:val="1"/>
                <w:szCs w:val="1"/>
                <w:color w:val="auto"/>
              </w:rPr>
            </w:pPr>
          </w:p>
        </w:tc>
      </w:tr>
      <w:tr>
        <w:trPr>
          <w:trHeight w:val="246"/>
        </w:trPr>
        <w:tc>
          <w:tcPr>
            <w:tcW w:w="6800" w:type="dxa"/>
            <w:vAlign w:val="bottom"/>
          </w:tcPr>
          <w:p>
            <w:pPr>
              <w:spacing w:after="0"/>
              <w:rPr>
                <w:sz w:val="20"/>
                <w:szCs w:val="20"/>
                <w:color w:val="auto"/>
              </w:rPr>
            </w:pPr>
            <w:r>
              <w:rPr>
                <w:rFonts w:ascii="Arial" w:cs="Arial" w:eastAsia="Arial" w:hAnsi="Arial"/>
                <w:sz w:val="20"/>
                <w:szCs w:val="20"/>
                <w:color w:val="auto"/>
              </w:rPr>
              <w:t>Distributions accrued on Form 5500 at December 31, 2019</w:t>
            </w:r>
          </w:p>
        </w:tc>
        <w:tc>
          <w:tcPr>
            <w:tcW w:w="3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2,726,758</w:t>
            </w: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14,084</w:t>
            </w:r>
          </w:p>
        </w:tc>
        <w:tc>
          <w:tcPr>
            <w:tcW w:w="0" w:type="dxa"/>
            <w:vAlign w:val="bottom"/>
          </w:tcPr>
          <w:p>
            <w:pPr>
              <w:spacing w:after="0"/>
              <w:rPr>
                <w:sz w:val="1"/>
                <w:szCs w:val="1"/>
                <w:color w:val="auto"/>
              </w:rPr>
            </w:pPr>
          </w:p>
        </w:tc>
      </w:tr>
      <w:tr>
        <w:trPr>
          <w:trHeight w:val="169"/>
        </w:trPr>
        <w:tc>
          <w:tcPr>
            <w:tcW w:w="6800" w:type="dxa"/>
            <w:vAlign w:val="bottom"/>
          </w:tcPr>
          <w:p>
            <w:pPr>
              <w:spacing w:after="0" w:line="169" w:lineRule="exact"/>
              <w:rPr>
                <w:sz w:val="20"/>
                <w:szCs w:val="20"/>
                <w:color w:val="auto"/>
              </w:rPr>
            </w:pPr>
            <w:r>
              <w:rPr>
                <w:rFonts w:ascii="Arial" w:cs="Arial" w:eastAsia="Arial" w:hAnsi="Arial"/>
                <w:sz w:val="19"/>
                <w:szCs w:val="19"/>
                <w:color w:val="auto"/>
              </w:rPr>
              <w:t>Net increase in net assets available for benefits, as</w:t>
            </w:r>
          </w:p>
        </w:tc>
        <w:tc>
          <w:tcPr>
            <w:tcW w:w="360" w:type="dxa"/>
            <w:vAlign w:val="bottom"/>
            <w:vMerge w:val="restart"/>
          </w:tcPr>
          <w:p>
            <w:pPr>
              <w:jc w:val="right"/>
              <w:ind w:right="141"/>
              <w:spacing w:after="0"/>
              <w:rPr>
                <w:sz w:val="20"/>
                <w:szCs w:val="20"/>
                <w:color w:val="auto"/>
              </w:rPr>
            </w:pPr>
            <w:r>
              <w:rPr>
                <w:rFonts w:ascii="Arial" w:cs="Arial" w:eastAsia="Arial" w:hAnsi="Arial"/>
                <w:sz w:val="20"/>
                <w:szCs w:val="20"/>
                <w:color w:val="auto"/>
                <w:w w:val="89"/>
              </w:rPr>
              <w:t>$</w:t>
            </w:r>
          </w:p>
        </w:tc>
        <w:tc>
          <w:tcPr>
            <w:tcW w:w="1780" w:type="dxa"/>
            <w:vAlign w:val="bottom"/>
            <w:vMerge w:val="restart"/>
          </w:tcPr>
          <w:p>
            <w:pPr>
              <w:jc w:val="right"/>
              <w:spacing w:after="0"/>
              <w:rPr>
                <w:sz w:val="20"/>
                <w:szCs w:val="20"/>
                <w:color w:val="auto"/>
              </w:rPr>
            </w:pPr>
            <w:r>
              <w:rPr>
                <w:rFonts w:ascii="Arial" w:cs="Arial" w:eastAsia="Arial" w:hAnsi="Arial"/>
                <w:sz w:val="20"/>
                <w:szCs w:val="20"/>
                <w:color w:val="auto"/>
              </w:rPr>
              <w:t>1,007,140,562</w:t>
            </w:r>
          </w:p>
        </w:tc>
        <w:tc>
          <w:tcPr>
            <w:tcW w:w="34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1760" w:type="dxa"/>
            <w:vAlign w:val="bottom"/>
            <w:vMerge w:val="restart"/>
          </w:tcPr>
          <w:p>
            <w:pPr>
              <w:jc w:val="right"/>
              <w:spacing w:after="0"/>
              <w:rPr>
                <w:sz w:val="20"/>
                <w:szCs w:val="20"/>
                <w:color w:val="auto"/>
              </w:rPr>
            </w:pPr>
            <w:r>
              <w:rPr>
                <w:rFonts w:ascii="Arial" w:cs="Arial" w:eastAsia="Arial" w:hAnsi="Arial"/>
                <w:sz w:val="20"/>
                <w:szCs w:val="20"/>
                <w:color w:val="auto"/>
              </w:rPr>
              <w:t>28,855,755</w:t>
            </w:r>
          </w:p>
        </w:tc>
        <w:tc>
          <w:tcPr>
            <w:tcW w:w="0" w:type="dxa"/>
            <w:vAlign w:val="bottom"/>
          </w:tcPr>
          <w:p>
            <w:pPr>
              <w:spacing w:after="0"/>
              <w:rPr>
                <w:sz w:val="1"/>
                <w:szCs w:val="1"/>
                <w:color w:val="auto"/>
              </w:rPr>
            </w:pPr>
          </w:p>
        </w:tc>
      </w:tr>
      <w:tr>
        <w:trPr>
          <w:trHeight w:val="221"/>
        </w:trPr>
        <w:tc>
          <w:tcPr>
            <w:tcW w:w="6800" w:type="dxa"/>
            <w:vAlign w:val="bottom"/>
          </w:tcPr>
          <w:p>
            <w:pPr>
              <w:ind w:left="160"/>
              <w:spacing w:after="0" w:line="216" w:lineRule="exact"/>
              <w:rPr>
                <w:sz w:val="20"/>
                <w:szCs w:val="20"/>
                <w:color w:val="auto"/>
              </w:rPr>
            </w:pPr>
            <w:r>
              <w:rPr>
                <w:rFonts w:ascii="Arial" w:cs="Arial" w:eastAsia="Arial" w:hAnsi="Arial"/>
                <w:sz w:val="20"/>
                <w:szCs w:val="20"/>
                <w:color w:val="auto"/>
              </w:rPr>
              <w:t>reported on the Form 5500</w:t>
            </w:r>
          </w:p>
        </w:tc>
        <w:tc>
          <w:tcPr>
            <w:tcW w:w="360" w:type="dxa"/>
            <w:vAlign w:val="bottom"/>
            <w:tcBorders>
              <w:bottom w:val="single" w:sz="8" w:color="auto"/>
            </w:tcBorders>
            <w:vMerge w:val="continue"/>
          </w:tcPr>
          <w:p>
            <w:pPr>
              <w:spacing w:after="0"/>
              <w:rPr>
                <w:sz w:val="18"/>
                <w:szCs w:val="18"/>
                <w:color w:val="auto"/>
              </w:rPr>
            </w:pPr>
          </w:p>
        </w:tc>
        <w:tc>
          <w:tcPr>
            <w:tcW w:w="1780" w:type="dxa"/>
            <w:vAlign w:val="bottom"/>
            <w:tcBorders>
              <w:bottom w:val="single" w:sz="8" w:color="auto"/>
            </w:tcBorders>
            <w:vMerge w:val="continue"/>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90"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2020 and 2019</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Special Disaster Distribution</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In 2020, the Puerto Rico Plan was amended to allow those participants affected by the earthquakes in January 2020 and/or the COVID-19 pandemic from May 1 through November 30, 2020 to apply for a special disaster distribution. The special disaster distributions were subject to applicable Puerto Rico Treasury requirements for "eligible distributions" and related guidance. Participants received special disaster distributions under this relief in 2020 in the amount of $7.5 million under the Puerto Rico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90" w:right="339"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31"/>
          <w:szCs w:val="31"/>
          <w:color w:val="auto"/>
        </w:rPr>
        <w:t>Supplemental Schedules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9019"/>
          </w:cols>
          <w:pgMar w:left="1440" w:top="1440" w:right="1440" w:bottom="1440" w:gutter="0" w:footer="0" w:header="0"/>
          <w:type w:val="continuous"/>
        </w:sectPr>
      </w:pPr>
    </w:p>
    <w:bookmarkStart w:id="19" w:name="page20"/>
    <w:bookmarkEnd w:id="19"/>
    <w:p>
      <w:pPr>
        <w:jc w:val="center"/>
        <w:ind w:right="20"/>
        <w:spacing w:after="0"/>
        <w:rPr>
          <w:sz w:val="20"/>
          <w:szCs w:val="20"/>
          <w:color w:val="auto"/>
        </w:rPr>
      </w:pPr>
      <w:r>
        <w:rPr>
          <w:rFonts w:ascii="Arial" w:cs="Arial" w:eastAsia="Arial" w:hAnsi="Arial"/>
          <w:sz w:val="25"/>
          <w:szCs w:val="25"/>
          <w:color w:val="auto"/>
        </w:rPr>
        <w:t>The Lilly Employee 401(k) Plan</w:t>
      </w: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EIN 35-0470950 Plan No. 002</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Schedule H, Line 4i – Schedule of Assets</w:t>
      </w:r>
    </w:p>
    <w:p>
      <w:pPr>
        <w:spacing w:after="0" w:line="96"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(Held at End of Year)</w:t>
      </w: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40" w:type="dxa"/>
            <w:vAlign w:val="bottom"/>
          </w:tcPr>
          <w:p>
            <w:pPr>
              <w:spacing w:after="0"/>
              <w:rPr>
                <w:sz w:val="21"/>
                <w:szCs w:val="21"/>
                <w:color w:val="auto"/>
              </w:rPr>
            </w:pPr>
          </w:p>
        </w:tc>
        <w:tc>
          <w:tcPr>
            <w:tcW w:w="3080" w:type="dxa"/>
            <w:vAlign w:val="bottom"/>
          </w:tcPr>
          <w:p>
            <w:pPr>
              <w:jc w:val="center"/>
              <w:ind w:left="501"/>
              <w:spacing w:after="0"/>
              <w:rPr>
                <w:sz w:val="20"/>
                <w:szCs w:val="20"/>
                <w:color w:val="auto"/>
              </w:rPr>
            </w:pPr>
            <w:r>
              <w:rPr>
                <w:rFonts w:ascii="Arial" w:cs="Arial" w:eastAsia="Arial" w:hAnsi="Arial"/>
                <w:sz w:val="20"/>
                <w:szCs w:val="20"/>
                <w:b w:val="1"/>
                <w:bCs w:val="1"/>
                <w:color w:val="auto"/>
                <w:w w:val="89"/>
              </w:rPr>
              <w:t>Description of</w:t>
            </w:r>
          </w:p>
        </w:tc>
        <w:tc>
          <w:tcPr>
            <w:tcW w:w="72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43"/>
        </w:trPr>
        <w:tc>
          <w:tcPr>
            <w:tcW w:w="3440" w:type="dxa"/>
            <w:vAlign w:val="bottom"/>
          </w:tcPr>
          <w:p>
            <w:pPr>
              <w:spacing w:after="0"/>
              <w:rPr>
                <w:sz w:val="21"/>
                <w:szCs w:val="21"/>
                <w:color w:val="auto"/>
              </w:rPr>
            </w:pPr>
          </w:p>
        </w:tc>
        <w:tc>
          <w:tcPr>
            <w:tcW w:w="3080" w:type="dxa"/>
            <w:vAlign w:val="bottom"/>
          </w:tcPr>
          <w:p>
            <w:pPr>
              <w:jc w:val="center"/>
              <w:ind w:left="501"/>
              <w:spacing w:after="0"/>
              <w:rPr>
                <w:sz w:val="20"/>
                <w:szCs w:val="20"/>
                <w:color w:val="auto"/>
              </w:rPr>
            </w:pPr>
            <w:r>
              <w:rPr>
                <w:rFonts w:ascii="Arial" w:cs="Arial" w:eastAsia="Arial" w:hAnsi="Arial"/>
                <w:sz w:val="20"/>
                <w:szCs w:val="20"/>
                <w:b w:val="1"/>
                <w:bCs w:val="1"/>
                <w:color w:val="auto"/>
                <w:w w:val="89"/>
              </w:rPr>
              <w:t>Investment, including</w:t>
            </w:r>
          </w:p>
        </w:tc>
        <w:tc>
          <w:tcPr>
            <w:tcW w:w="72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43"/>
        </w:trPr>
        <w:tc>
          <w:tcPr>
            <w:tcW w:w="3440" w:type="dxa"/>
            <w:vAlign w:val="bottom"/>
          </w:tcPr>
          <w:p>
            <w:pPr>
              <w:spacing w:after="0"/>
              <w:rPr>
                <w:sz w:val="21"/>
                <w:szCs w:val="21"/>
                <w:color w:val="auto"/>
              </w:rPr>
            </w:pPr>
          </w:p>
        </w:tc>
        <w:tc>
          <w:tcPr>
            <w:tcW w:w="3080" w:type="dxa"/>
            <w:vAlign w:val="bottom"/>
          </w:tcPr>
          <w:p>
            <w:pPr>
              <w:jc w:val="center"/>
              <w:ind w:left="501"/>
              <w:spacing w:after="0"/>
              <w:rPr>
                <w:sz w:val="20"/>
                <w:szCs w:val="20"/>
                <w:color w:val="auto"/>
              </w:rPr>
            </w:pPr>
            <w:r>
              <w:rPr>
                <w:rFonts w:ascii="Arial" w:cs="Arial" w:eastAsia="Arial" w:hAnsi="Arial"/>
                <w:sz w:val="20"/>
                <w:szCs w:val="20"/>
                <w:b w:val="1"/>
                <w:bCs w:val="1"/>
                <w:color w:val="auto"/>
                <w:w w:val="93"/>
              </w:rPr>
              <w:t>Maturity Date, Rate of</w:t>
            </w:r>
          </w:p>
        </w:tc>
        <w:tc>
          <w:tcPr>
            <w:tcW w:w="72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43"/>
        </w:trPr>
        <w:tc>
          <w:tcPr>
            <w:tcW w:w="3440" w:type="dxa"/>
            <w:vAlign w:val="bottom"/>
          </w:tcPr>
          <w:p>
            <w:pPr>
              <w:jc w:val="center"/>
              <w:ind w:left="241"/>
              <w:spacing w:after="0"/>
              <w:rPr>
                <w:sz w:val="20"/>
                <w:szCs w:val="20"/>
                <w:color w:val="auto"/>
              </w:rPr>
            </w:pPr>
            <w:r>
              <w:rPr>
                <w:rFonts w:ascii="Arial" w:cs="Arial" w:eastAsia="Arial" w:hAnsi="Arial"/>
                <w:sz w:val="20"/>
                <w:szCs w:val="20"/>
                <w:b w:val="1"/>
                <w:bCs w:val="1"/>
                <w:color w:val="auto"/>
                <w:w w:val="89"/>
              </w:rPr>
              <w:t>Identity of Issuer, Borrower,</w:t>
            </w:r>
          </w:p>
        </w:tc>
        <w:tc>
          <w:tcPr>
            <w:tcW w:w="3080" w:type="dxa"/>
            <w:vAlign w:val="bottom"/>
          </w:tcPr>
          <w:p>
            <w:pPr>
              <w:jc w:val="center"/>
              <w:ind w:left="501"/>
              <w:spacing w:after="0"/>
              <w:rPr>
                <w:sz w:val="20"/>
                <w:szCs w:val="20"/>
                <w:color w:val="auto"/>
              </w:rPr>
            </w:pPr>
            <w:r>
              <w:rPr>
                <w:rFonts w:ascii="Arial" w:cs="Arial" w:eastAsia="Arial" w:hAnsi="Arial"/>
                <w:sz w:val="20"/>
                <w:szCs w:val="20"/>
                <w:b w:val="1"/>
                <w:bCs w:val="1"/>
                <w:color w:val="auto"/>
                <w:w w:val="89"/>
              </w:rPr>
              <w:t>Interest, Par, or</w:t>
            </w:r>
          </w:p>
        </w:tc>
        <w:tc>
          <w:tcPr>
            <w:tcW w:w="720" w:type="dxa"/>
            <w:vAlign w:val="bottom"/>
          </w:tcPr>
          <w:p>
            <w:pPr>
              <w:spacing w:after="0"/>
              <w:rPr>
                <w:sz w:val="21"/>
                <w:szCs w:val="21"/>
                <w:color w:val="auto"/>
              </w:rPr>
            </w:pPr>
          </w:p>
        </w:tc>
        <w:tc>
          <w:tcPr>
            <w:tcW w:w="1860" w:type="dxa"/>
            <w:vAlign w:val="bottom"/>
          </w:tcPr>
          <w:p>
            <w:pPr>
              <w:jc w:val="center"/>
              <w:ind w:right="361"/>
              <w:spacing w:after="0"/>
              <w:rPr>
                <w:sz w:val="20"/>
                <w:szCs w:val="20"/>
                <w:color w:val="auto"/>
              </w:rPr>
            </w:pPr>
            <w:r>
              <w:rPr>
                <w:rFonts w:ascii="Arial" w:cs="Arial" w:eastAsia="Arial" w:hAnsi="Arial"/>
                <w:sz w:val="20"/>
                <w:szCs w:val="20"/>
                <w:b w:val="1"/>
                <w:bCs w:val="1"/>
                <w:color w:val="auto"/>
                <w:w w:val="94"/>
              </w:rPr>
              <w:t>Current</w:t>
            </w:r>
          </w:p>
        </w:tc>
      </w:tr>
      <w:tr>
        <w:trPr>
          <w:trHeight w:val="252"/>
        </w:trPr>
        <w:tc>
          <w:tcPr>
            <w:tcW w:w="3440" w:type="dxa"/>
            <w:vAlign w:val="bottom"/>
            <w:tcBorders>
              <w:bottom w:val="single" w:sz="8" w:color="auto"/>
            </w:tcBorders>
          </w:tcPr>
          <w:p>
            <w:pPr>
              <w:jc w:val="center"/>
              <w:ind w:left="241"/>
              <w:spacing w:after="0"/>
              <w:rPr>
                <w:sz w:val="20"/>
                <w:szCs w:val="20"/>
                <w:color w:val="auto"/>
              </w:rPr>
            </w:pPr>
            <w:r>
              <w:rPr>
                <w:rFonts w:ascii="Arial" w:cs="Arial" w:eastAsia="Arial" w:hAnsi="Arial"/>
                <w:sz w:val="20"/>
                <w:szCs w:val="20"/>
                <w:b w:val="1"/>
                <w:bCs w:val="1"/>
                <w:color w:val="auto"/>
                <w:w w:val="89"/>
              </w:rPr>
              <w:t>Lessor, or Similar Party</w:t>
            </w:r>
          </w:p>
        </w:tc>
        <w:tc>
          <w:tcPr>
            <w:tcW w:w="3080" w:type="dxa"/>
            <w:vAlign w:val="bottom"/>
            <w:tcBorders>
              <w:bottom w:val="single" w:sz="8" w:color="auto"/>
            </w:tcBorders>
          </w:tcPr>
          <w:p>
            <w:pPr>
              <w:jc w:val="center"/>
              <w:ind w:left="501"/>
              <w:spacing w:after="0"/>
              <w:rPr>
                <w:sz w:val="20"/>
                <w:szCs w:val="20"/>
                <w:color w:val="auto"/>
              </w:rPr>
            </w:pPr>
            <w:r>
              <w:rPr>
                <w:rFonts w:ascii="Arial" w:cs="Arial" w:eastAsia="Arial" w:hAnsi="Arial"/>
                <w:sz w:val="20"/>
                <w:szCs w:val="20"/>
                <w:b w:val="1"/>
                <w:bCs w:val="1"/>
                <w:color w:val="auto"/>
                <w:w w:val="93"/>
              </w:rPr>
              <w:t>Maturity Value</w:t>
            </w:r>
          </w:p>
        </w:tc>
        <w:tc>
          <w:tcPr>
            <w:tcW w:w="7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center"/>
              <w:ind w:right="361"/>
              <w:spacing w:after="0"/>
              <w:rPr>
                <w:sz w:val="20"/>
                <w:szCs w:val="20"/>
                <w:color w:val="auto"/>
              </w:rPr>
            </w:pPr>
            <w:r>
              <w:rPr>
                <w:rFonts w:ascii="Arial" w:cs="Arial" w:eastAsia="Arial" w:hAnsi="Arial"/>
                <w:sz w:val="20"/>
                <w:szCs w:val="20"/>
                <w:b w:val="1"/>
                <w:bCs w:val="1"/>
                <w:color w:val="auto"/>
                <w:w w:val="89"/>
              </w:rPr>
              <w:t>Value</w:t>
            </w:r>
          </w:p>
        </w:tc>
      </w:tr>
      <w:tr>
        <w:trPr>
          <w:trHeight w:val="530"/>
        </w:trPr>
        <w:tc>
          <w:tcPr>
            <w:tcW w:w="3440" w:type="dxa"/>
            <w:vAlign w:val="bottom"/>
          </w:tcPr>
          <w:p>
            <w:pPr>
              <w:spacing w:after="0"/>
              <w:rPr>
                <w:sz w:val="20"/>
                <w:szCs w:val="20"/>
                <w:color w:val="auto"/>
              </w:rPr>
            </w:pPr>
            <w:r>
              <w:rPr>
                <w:rFonts w:ascii="Arial" w:cs="Arial" w:eastAsia="Arial" w:hAnsi="Arial"/>
                <w:sz w:val="20"/>
                <w:szCs w:val="20"/>
                <w:color w:val="auto"/>
              </w:rPr>
              <w:t>Notes receivable from participants*</w:t>
            </w:r>
          </w:p>
        </w:tc>
        <w:tc>
          <w:tcPr>
            <w:tcW w:w="3080" w:type="dxa"/>
            <w:vAlign w:val="bottom"/>
          </w:tcPr>
          <w:p>
            <w:pPr>
              <w:ind w:left="360"/>
              <w:spacing w:after="0"/>
              <w:rPr>
                <w:sz w:val="20"/>
                <w:szCs w:val="20"/>
                <w:color w:val="auto"/>
              </w:rPr>
            </w:pPr>
            <w:r>
              <w:rPr>
                <w:rFonts w:ascii="Arial" w:cs="Arial" w:eastAsia="Arial" w:hAnsi="Arial"/>
                <w:sz w:val="20"/>
                <w:szCs w:val="20"/>
                <w:color w:val="auto"/>
              </w:rPr>
              <w:t>Interest rates ranging</w:t>
            </w:r>
          </w:p>
        </w:tc>
        <w:tc>
          <w:tcPr>
            <w:tcW w:w="72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1860" w:type="dxa"/>
            <w:vAlign w:val="bottom"/>
          </w:tcPr>
          <w:p>
            <w:pPr>
              <w:jc w:val="right"/>
              <w:spacing w:after="0"/>
              <w:rPr>
                <w:sz w:val="20"/>
                <w:szCs w:val="20"/>
                <w:color w:val="auto"/>
              </w:rPr>
            </w:pPr>
            <w:r>
              <w:rPr>
                <w:rFonts w:ascii="Arial" w:cs="Arial" w:eastAsia="Arial" w:hAnsi="Arial"/>
                <w:sz w:val="20"/>
                <w:szCs w:val="20"/>
                <w:color w:val="auto"/>
              </w:rPr>
              <w:t>23,375,326</w:t>
            </w:r>
          </w:p>
        </w:tc>
      </w:tr>
      <w:tr>
        <w:trPr>
          <w:trHeight w:val="250"/>
        </w:trPr>
        <w:tc>
          <w:tcPr>
            <w:tcW w:w="3440" w:type="dxa"/>
            <w:vAlign w:val="bottom"/>
          </w:tcPr>
          <w:p>
            <w:pPr>
              <w:spacing w:after="0"/>
              <w:rPr>
                <w:sz w:val="21"/>
                <w:szCs w:val="21"/>
                <w:color w:val="auto"/>
              </w:rPr>
            </w:pPr>
          </w:p>
        </w:tc>
        <w:tc>
          <w:tcPr>
            <w:tcW w:w="3080" w:type="dxa"/>
            <w:vAlign w:val="bottom"/>
          </w:tcPr>
          <w:p>
            <w:pPr>
              <w:ind w:left="500"/>
              <w:spacing w:after="0"/>
              <w:rPr>
                <w:sz w:val="20"/>
                <w:szCs w:val="20"/>
                <w:color w:val="auto"/>
              </w:rPr>
            </w:pPr>
            <w:r>
              <w:rPr>
                <w:rFonts w:ascii="Arial" w:cs="Arial" w:eastAsia="Arial" w:hAnsi="Arial"/>
                <w:sz w:val="20"/>
                <w:szCs w:val="20"/>
                <w:color w:val="auto"/>
              </w:rPr>
              <w:t>from 4.25% to 10.00%</w:t>
            </w:r>
          </w:p>
        </w:tc>
        <w:tc>
          <w:tcPr>
            <w:tcW w:w="72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499"/>
        </w:trPr>
        <w:tc>
          <w:tcPr>
            <w:tcW w:w="3440" w:type="dxa"/>
            <w:vAlign w:val="bottom"/>
          </w:tcPr>
          <w:p>
            <w:pPr>
              <w:spacing w:after="0"/>
              <w:rPr>
                <w:sz w:val="20"/>
                <w:szCs w:val="20"/>
                <w:color w:val="auto"/>
              </w:rPr>
            </w:pPr>
            <w:r>
              <w:rPr>
                <w:rFonts w:ascii="Arial" w:cs="Arial" w:eastAsia="Arial" w:hAnsi="Arial"/>
                <w:sz w:val="20"/>
                <w:szCs w:val="20"/>
                <w:color w:val="auto"/>
              </w:rPr>
              <w:t>*Parties in interest</w:t>
            </w:r>
          </w:p>
        </w:tc>
        <w:tc>
          <w:tcPr>
            <w:tcW w:w="3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9100"/>
          </w:cols>
          <w:pgMar w:left="1400" w:top="919" w:right="1399" w:bottom="1440" w:gutter="0" w:footer="0" w:header="0"/>
        </w:sectPr>
      </w:pPr>
    </w:p>
    <w:bookmarkStart w:id="20" w:name="page21"/>
    <w:bookmarkEnd w:id="20"/>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EIN 98-0167031 Plan No. 004</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Schedule H, Line 4i – Schedule of Assets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(Held at End of Year)</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60" w:type="dxa"/>
            <w:vAlign w:val="bottom"/>
          </w:tcPr>
          <w:p>
            <w:pPr>
              <w:spacing w:after="0"/>
              <w:rPr>
                <w:sz w:val="21"/>
                <w:szCs w:val="21"/>
                <w:color w:val="auto"/>
              </w:rPr>
            </w:pPr>
          </w:p>
        </w:tc>
        <w:tc>
          <w:tcPr>
            <w:tcW w:w="3080" w:type="dxa"/>
            <w:vAlign w:val="bottom"/>
          </w:tcPr>
          <w:p>
            <w:pPr>
              <w:jc w:val="center"/>
              <w:ind w:left="481"/>
              <w:spacing w:after="0"/>
              <w:rPr>
                <w:sz w:val="20"/>
                <w:szCs w:val="20"/>
                <w:color w:val="auto"/>
              </w:rPr>
            </w:pPr>
            <w:r>
              <w:rPr>
                <w:rFonts w:ascii="Arial" w:cs="Arial" w:eastAsia="Arial" w:hAnsi="Arial"/>
                <w:sz w:val="20"/>
                <w:szCs w:val="20"/>
                <w:b w:val="1"/>
                <w:bCs w:val="1"/>
                <w:color w:val="auto"/>
                <w:w w:val="87"/>
              </w:rPr>
              <w:t>Description of</w:t>
            </w:r>
          </w:p>
        </w:tc>
        <w:tc>
          <w:tcPr>
            <w:tcW w:w="72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43"/>
        </w:trPr>
        <w:tc>
          <w:tcPr>
            <w:tcW w:w="3460" w:type="dxa"/>
            <w:vAlign w:val="bottom"/>
          </w:tcPr>
          <w:p>
            <w:pPr>
              <w:spacing w:after="0"/>
              <w:rPr>
                <w:sz w:val="21"/>
                <w:szCs w:val="21"/>
                <w:color w:val="auto"/>
              </w:rPr>
            </w:pPr>
          </w:p>
        </w:tc>
        <w:tc>
          <w:tcPr>
            <w:tcW w:w="3080" w:type="dxa"/>
            <w:vAlign w:val="bottom"/>
          </w:tcPr>
          <w:p>
            <w:pPr>
              <w:jc w:val="center"/>
              <w:ind w:left="501"/>
              <w:spacing w:after="0"/>
              <w:rPr>
                <w:sz w:val="20"/>
                <w:szCs w:val="20"/>
                <w:color w:val="auto"/>
              </w:rPr>
            </w:pPr>
            <w:r>
              <w:rPr>
                <w:rFonts w:ascii="Arial" w:cs="Arial" w:eastAsia="Arial" w:hAnsi="Arial"/>
                <w:sz w:val="20"/>
                <w:szCs w:val="20"/>
                <w:b w:val="1"/>
                <w:bCs w:val="1"/>
                <w:color w:val="auto"/>
                <w:w w:val="89"/>
              </w:rPr>
              <w:t>Investment, including</w:t>
            </w:r>
          </w:p>
        </w:tc>
        <w:tc>
          <w:tcPr>
            <w:tcW w:w="72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43"/>
        </w:trPr>
        <w:tc>
          <w:tcPr>
            <w:tcW w:w="3460" w:type="dxa"/>
            <w:vAlign w:val="bottom"/>
          </w:tcPr>
          <w:p>
            <w:pPr>
              <w:spacing w:after="0"/>
              <w:rPr>
                <w:sz w:val="21"/>
                <w:szCs w:val="21"/>
                <w:color w:val="auto"/>
              </w:rPr>
            </w:pPr>
          </w:p>
        </w:tc>
        <w:tc>
          <w:tcPr>
            <w:tcW w:w="3080" w:type="dxa"/>
            <w:vAlign w:val="bottom"/>
          </w:tcPr>
          <w:p>
            <w:pPr>
              <w:jc w:val="center"/>
              <w:ind w:left="501"/>
              <w:spacing w:after="0"/>
              <w:rPr>
                <w:sz w:val="20"/>
                <w:szCs w:val="20"/>
                <w:color w:val="auto"/>
              </w:rPr>
            </w:pPr>
            <w:r>
              <w:rPr>
                <w:rFonts w:ascii="Arial" w:cs="Arial" w:eastAsia="Arial" w:hAnsi="Arial"/>
                <w:sz w:val="20"/>
                <w:szCs w:val="20"/>
                <w:b w:val="1"/>
                <w:bCs w:val="1"/>
                <w:color w:val="auto"/>
                <w:w w:val="93"/>
              </w:rPr>
              <w:t>Maturity Date, Rate of</w:t>
            </w:r>
          </w:p>
        </w:tc>
        <w:tc>
          <w:tcPr>
            <w:tcW w:w="72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43"/>
        </w:trPr>
        <w:tc>
          <w:tcPr>
            <w:tcW w:w="3460" w:type="dxa"/>
            <w:vAlign w:val="bottom"/>
          </w:tcPr>
          <w:p>
            <w:pPr>
              <w:jc w:val="center"/>
              <w:ind w:left="221"/>
              <w:spacing w:after="0"/>
              <w:rPr>
                <w:sz w:val="20"/>
                <w:szCs w:val="20"/>
                <w:color w:val="auto"/>
              </w:rPr>
            </w:pPr>
            <w:r>
              <w:rPr>
                <w:rFonts w:ascii="Arial" w:cs="Arial" w:eastAsia="Arial" w:hAnsi="Arial"/>
                <w:sz w:val="20"/>
                <w:szCs w:val="20"/>
                <w:b w:val="1"/>
                <w:bCs w:val="1"/>
                <w:color w:val="auto"/>
                <w:w w:val="89"/>
              </w:rPr>
              <w:t>Identity of Issuer, Borrower,</w:t>
            </w:r>
          </w:p>
        </w:tc>
        <w:tc>
          <w:tcPr>
            <w:tcW w:w="3080" w:type="dxa"/>
            <w:vAlign w:val="bottom"/>
          </w:tcPr>
          <w:p>
            <w:pPr>
              <w:jc w:val="center"/>
              <w:ind w:left="481"/>
              <w:spacing w:after="0"/>
              <w:rPr>
                <w:sz w:val="20"/>
                <w:szCs w:val="20"/>
                <w:color w:val="auto"/>
              </w:rPr>
            </w:pPr>
            <w:r>
              <w:rPr>
                <w:rFonts w:ascii="Arial" w:cs="Arial" w:eastAsia="Arial" w:hAnsi="Arial"/>
                <w:sz w:val="20"/>
                <w:szCs w:val="20"/>
                <w:b w:val="1"/>
                <w:bCs w:val="1"/>
                <w:color w:val="auto"/>
                <w:w w:val="91"/>
              </w:rPr>
              <w:t>Interest, Par, or</w:t>
            </w:r>
          </w:p>
        </w:tc>
        <w:tc>
          <w:tcPr>
            <w:tcW w:w="720" w:type="dxa"/>
            <w:vAlign w:val="bottom"/>
          </w:tcPr>
          <w:p>
            <w:pPr>
              <w:spacing w:after="0"/>
              <w:rPr>
                <w:sz w:val="21"/>
                <w:szCs w:val="21"/>
                <w:color w:val="auto"/>
              </w:rPr>
            </w:pPr>
          </w:p>
        </w:tc>
        <w:tc>
          <w:tcPr>
            <w:tcW w:w="1860" w:type="dxa"/>
            <w:vAlign w:val="bottom"/>
          </w:tcPr>
          <w:p>
            <w:pPr>
              <w:jc w:val="center"/>
              <w:ind w:right="361"/>
              <w:spacing w:after="0"/>
              <w:rPr>
                <w:sz w:val="20"/>
                <w:szCs w:val="20"/>
                <w:color w:val="auto"/>
              </w:rPr>
            </w:pPr>
            <w:r>
              <w:rPr>
                <w:rFonts w:ascii="Arial" w:cs="Arial" w:eastAsia="Arial" w:hAnsi="Arial"/>
                <w:sz w:val="20"/>
                <w:szCs w:val="20"/>
                <w:b w:val="1"/>
                <w:bCs w:val="1"/>
                <w:color w:val="auto"/>
                <w:w w:val="94"/>
              </w:rPr>
              <w:t>Current</w:t>
            </w:r>
          </w:p>
        </w:tc>
      </w:tr>
      <w:tr>
        <w:trPr>
          <w:trHeight w:val="252"/>
        </w:trPr>
        <w:tc>
          <w:tcPr>
            <w:tcW w:w="3460" w:type="dxa"/>
            <w:vAlign w:val="bottom"/>
            <w:tcBorders>
              <w:bottom w:val="single" w:sz="8" w:color="auto"/>
            </w:tcBorders>
          </w:tcPr>
          <w:p>
            <w:pPr>
              <w:jc w:val="center"/>
              <w:ind w:left="241"/>
              <w:spacing w:after="0"/>
              <w:rPr>
                <w:sz w:val="20"/>
                <w:szCs w:val="20"/>
                <w:color w:val="auto"/>
              </w:rPr>
            </w:pPr>
            <w:r>
              <w:rPr>
                <w:rFonts w:ascii="Arial" w:cs="Arial" w:eastAsia="Arial" w:hAnsi="Arial"/>
                <w:sz w:val="20"/>
                <w:szCs w:val="20"/>
                <w:b w:val="1"/>
                <w:bCs w:val="1"/>
                <w:color w:val="auto"/>
                <w:w w:val="90"/>
              </w:rPr>
              <w:t>Lessor, or Similar Party</w:t>
            </w:r>
          </w:p>
        </w:tc>
        <w:tc>
          <w:tcPr>
            <w:tcW w:w="3080" w:type="dxa"/>
            <w:vAlign w:val="bottom"/>
            <w:tcBorders>
              <w:bottom w:val="single" w:sz="8" w:color="auto"/>
            </w:tcBorders>
          </w:tcPr>
          <w:p>
            <w:pPr>
              <w:jc w:val="center"/>
              <w:ind w:left="481"/>
              <w:spacing w:after="0"/>
              <w:rPr>
                <w:sz w:val="20"/>
                <w:szCs w:val="20"/>
                <w:color w:val="auto"/>
              </w:rPr>
            </w:pPr>
            <w:r>
              <w:rPr>
                <w:rFonts w:ascii="Arial" w:cs="Arial" w:eastAsia="Arial" w:hAnsi="Arial"/>
                <w:sz w:val="20"/>
                <w:szCs w:val="20"/>
                <w:b w:val="1"/>
                <w:bCs w:val="1"/>
                <w:color w:val="auto"/>
                <w:w w:val="95"/>
              </w:rPr>
              <w:t>Maturity Value</w:t>
            </w:r>
          </w:p>
        </w:tc>
        <w:tc>
          <w:tcPr>
            <w:tcW w:w="7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center"/>
              <w:ind w:right="361"/>
              <w:spacing w:after="0"/>
              <w:rPr>
                <w:sz w:val="20"/>
                <w:szCs w:val="20"/>
                <w:color w:val="auto"/>
              </w:rPr>
            </w:pPr>
            <w:r>
              <w:rPr>
                <w:rFonts w:ascii="Arial" w:cs="Arial" w:eastAsia="Arial" w:hAnsi="Arial"/>
                <w:sz w:val="20"/>
                <w:szCs w:val="20"/>
                <w:b w:val="1"/>
                <w:bCs w:val="1"/>
                <w:color w:val="auto"/>
                <w:w w:val="89"/>
              </w:rPr>
              <w:t>Value</w:t>
            </w:r>
          </w:p>
        </w:tc>
      </w:tr>
      <w:tr>
        <w:trPr>
          <w:trHeight w:val="530"/>
        </w:trPr>
        <w:tc>
          <w:tcPr>
            <w:tcW w:w="3460" w:type="dxa"/>
            <w:vAlign w:val="bottom"/>
          </w:tcPr>
          <w:p>
            <w:pPr>
              <w:ind w:left="20"/>
              <w:spacing w:after="0"/>
              <w:rPr>
                <w:sz w:val="20"/>
                <w:szCs w:val="20"/>
                <w:color w:val="auto"/>
              </w:rPr>
            </w:pPr>
            <w:r>
              <w:rPr>
                <w:rFonts w:ascii="Arial" w:cs="Arial" w:eastAsia="Arial" w:hAnsi="Arial"/>
                <w:sz w:val="20"/>
                <w:szCs w:val="20"/>
                <w:color w:val="auto"/>
              </w:rPr>
              <w:t>Notes receivable from participants*</w:t>
            </w:r>
          </w:p>
        </w:tc>
        <w:tc>
          <w:tcPr>
            <w:tcW w:w="3080" w:type="dxa"/>
            <w:vAlign w:val="bottom"/>
          </w:tcPr>
          <w:p>
            <w:pPr>
              <w:ind w:left="360"/>
              <w:spacing w:after="0"/>
              <w:rPr>
                <w:sz w:val="20"/>
                <w:szCs w:val="20"/>
                <w:color w:val="auto"/>
              </w:rPr>
            </w:pPr>
            <w:r>
              <w:rPr>
                <w:rFonts w:ascii="Arial" w:cs="Arial" w:eastAsia="Arial" w:hAnsi="Arial"/>
                <w:sz w:val="20"/>
                <w:szCs w:val="20"/>
                <w:color w:val="auto"/>
              </w:rPr>
              <w:t>Interest rates ranging</w:t>
            </w:r>
          </w:p>
        </w:tc>
        <w:tc>
          <w:tcPr>
            <w:tcW w:w="72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1860" w:type="dxa"/>
            <w:vAlign w:val="bottom"/>
          </w:tcPr>
          <w:p>
            <w:pPr>
              <w:jc w:val="right"/>
              <w:spacing w:after="0"/>
              <w:rPr>
                <w:sz w:val="20"/>
                <w:szCs w:val="20"/>
                <w:color w:val="auto"/>
              </w:rPr>
            </w:pPr>
            <w:r>
              <w:rPr>
                <w:rFonts w:ascii="Arial" w:cs="Arial" w:eastAsia="Arial" w:hAnsi="Arial"/>
                <w:sz w:val="20"/>
                <w:szCs w:val="20"/>
                <w:color w:val="auto"/>
              </w:rPr>
              <w:t>2,184,930</w:t>
            </w:r>
          </w:p>
        </w:tc>
      </w:tr>
      <w:tr>
        <w:trPr>
          <w:trHeight w:val="250"/>
        </w:trPr>
        <w:tc>
          <w:tcPr>
            <w:tcW w:w="3460" w:type="dxa"/>
            <w:vAlign w:val="bottom"/>
          </w:tcPr>
          <w:p>
            <w:pPr>
              <w:spacing w:after="0"/>
              <w:rPr>
                <w:sz w:val="21"/>
                <w:szCs w:val="21"/>
                <w:color w:val="auto"/>
              </w:rPr>
            </w:pPr>
          </w:p>
        </w:tc>
        <w:tc>
          <w:tcPr>
            <w:tcW w:w="3080" w:type="dxa"/>
            <w:vAlign w:val="bottom"/>
          </w:tcPr>
          <w:p>
            <w:pPr>
              <w:ind w:left="500"/>
              <w:spacing w:after="0"/>
              <w:rPr>
                <w:sz w:val="20"/>
                <w:szCs w:val="20"/>
                <w:color w:val="auto"/>
              </w:rPr>
            </w:pPr>
            <w:r>
              <w:rPr>
                <w:rFonts w:ascii="Arial" w:cs="Arial" w:eastAsia="Arial" w:hAnsi="Arial"/>
                <w:sz w:val="20"/>
                <w:szCs w:val="20"/>
                <w:color w:val="auto"/>
              </w:rPr>
              <w:t>from 4.25% to 9.50%</w:t>
            </w:r>
          </w:p>
        </w:tc>
        <w:tc>
          <w:tcPr>
            <w:tcW w:w="72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499"/>
        </w:trPr>
        <w:tc>
          <w:tcPr>
            <w:tcW w:w="3460" w:type="dxa"/>
            <w:vAlign w:val="bottom"/>
          </w:tcPr>
          <w:p>
            <w:pPr>
              <w:ind w:left="20"/>
              <w:spacing w:after="0"/>
              <w:rPr>
                <w:sz w:val="20"/>
                <w:szCs w:val="20"/>
                <w:color w:val="auto"/>
              </w:rPr>
            </w:pPr>
            <w:r>
              <w:rPr>
                <w:rFonts w:ascii="Arial" w:cs="Arial" w:eastAsia="Arial" w:hAnsi="Arial"/>
                <w:sz w:val="20"/>
                <w:szCs w:val="20"/>
                <w:color w:val="auto"/>
              </w:rPr>
              <w:t>*Parties in interest</w:t>
            </w:r>
          </w:p>
        </w:tc>
        <w:tc>
          <w:tcPr>
            <w:tcW w:w="3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120"/>
          </w:cols>
          <w:pgMar w:left="1380" w:top="1440"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9120"/>
          </w:cols>
          <w:pgMar w:left="1380" w:top="1440" w:right="1399" w:bottom="1440" w:gutter="0" w:footer="0" w:header="0"/>
          <w:type w:val="continuous"/>
        </w:sectPr>
      </w:pPr>
    </w:p>
    <w:bookmarkStart w:id="21" w:name="page22"/>
    <w:bookmarkEnd w:id="21"/>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361" w:lineRule="exact"/>
        <w:rPr>
          <w:sz w:val="20"/>
          <w:szCs w:val="20"/>
          <w:color w:val="auto"/>
        </w:rPr>
      </w:pPr>
    </w:p>
    <w:p>
      <w:pPr>
        <w:spacing w:after="0" w:line="461" w:lineRule="auto"/>
        <w:rPr>
          <w:sz w:val="20"/>
          <w:szCs w:val="20"/>
          <w:color w:val="auto"/>
        </w:rPr>
      </w:pPr>
      <w:r>
        <w:rPr>
          <w:rFonts w:ascii="Arial" w:cs="Arial" w:eastAsia="Arial" w:hAnsi="Arial"/>
          <w:sz w:val="19"/>
          <w:szCs w:val="19"/>
          <w:color w:val="auto"/>
        </w:rPr>
        <w:t>The Plans. Pursuant to the requirements of the Securities Exchange Act of 1934, the trustees (or other persons who administer the Plans) have duly caused this annual report to be signed on its behalf by the undersigned hereunto duly authorized.</w:t>
      </w: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320" w:type="dxa"/>
            <w:vAlign w:val="bottom"/>
          </w:tcPr>
          <w:p>
            <w:pPr>
              <w:spacing w:after="0"/>
              <w:rPr>
                <w:sz w:val="23"/>
                <w:szCs w:val="23"/>
                <w:color w:val="auto"/>
              </w:rPr>
            </w:pPr>
          </w:p>
        </w:tc>
        <w:tc>
          <w:tcPr>
            <w:tcW w:w="6980" w:type="dxa"/>
            <w:vAlign w:val="bottom"/>
            <w:gridSpan w:val="3"/>
          </w:tcPr>
          <w:p>
            <w:pPr>
              <w:ind w:left="1580"/>
              <w:spacing w:after="0"/>
              <w:rPr>
                <w:sz w:val="20"/>
                <w:szCs w:val="20"/>
                <w:color w:val="auto"/>
              </w:rPr>
            </w:pPr>
            <w:r>
              <w:rPr>
                <w:rFonts w:ascii="Arial" w:cs="Arial" w:eastAsia="Arial" w:hAnsi="Arial"/>
                <w:sz w:val="22"/>
                <w:szCs w:val="22"/>
                <w:color w:val="auto"/>
              </w:rPr>
              <w:t>The Lilly Employee 401(k) Plan</w:t>
            </w:r>
          </w:p>
        </w:tc>
      </w:tr>
      <w:tr>
        <w:trPr>
          <w:trHeight w:val="543"/>
        </w:trPr>
        <w:tc>
          <w:tcPr>
            <w:tcW w:w="3320" w:type="dxa"/>
            <w:vAlign w:val="bottom"/>
          </w:tcPr>
          <w:p>
            <w:pPr>
              <w:spacing w:after="0"/>
              <w:rPr>
                <w:sz w:val="20"/>
                <w:szCs w:val="20"/>
                <w:color w:val="auto"/>
              </w:rPr>
            </w:pPr>
            <w:r>
              <w:rPr>
                <w:rFonts w:ascii="Arial" w:cs="Arial" w:eastAsia="Arial" w:hAnsi="Arial"/>
                <w:sz w:val="22"/>
                <w:szCs w:val="22"/>
                <w:color w:val="auto"/>
              </w:rPr>
              <w:t>Date: June 24, 2021</w:t>
            </w:r>
          </w:p>
        </w:tc>
        <w:tc>
          <w:tcPr>
            <w:tcW w:w="6980" w:type="dxa"/>
            <w:vAlign w:val="bottom"/>
            <w:gridSpan w:val="3"/>
          </w:tcPr>
          <w:p>
            <w:pPr>
              <w:ind w:left="1580"/>
              <w:spacing w:after="0"/>
              <w:rPr>
                <w:sz w:val="20"/>
                <w:szCs w:val="20"/>
                <w:color w:val="auto"/>
              </w:rPr>
            </w:pPr>
            <w:r>
              <w:rPr>
                <w:rFonts w:ascii="Arial" w:cs="Arial" w:eastAsia="Arial" w:hAnsi="Arial"/>
                <w:sz w:val="22"/>
                <w:szCs w:val="22"/>
                <w:color w:val="auto"/>
              </w:rPr>
              <w:t>By: /s/ Stacey M. Roberson</w:t>
            </w:r>
          </w:p>
        </w:tc>
      </w:tr>
      <w:tr>
        <w:trPr>
          <w:trHeight w:val="20"/>
        </w:trPr>
        <w:tc>
          <w:tcPr>
            <w:tcW w:w="3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96"/>
        </w:trPr>
        <w:tc>
          <w:tcPr>
            <w:tcW w:w="3320" w:type="dxa"/>
            <w:vAlign w:val="bottom"/>
          </w:tcPr>
          <w:p>
            <w:pPr>
              <w:spacing w:after="0"/>
              <w:rPr>
                <w:sz w:val="24"/>
                <w:szCs w:val="24"/>
                <w:color w:val="auto"/>
              </w:rPr>
            </w:pPr>
          </w:p>
        </w:tc>
        <w:tc>
          <w:tcPr>
            <w:tcW w:w="6980" w:type="dxa"/>
            <w:vAlign w:val="bottom"/>
            <w:gridSpan w:val="3"/>
          </w:tcPr>
          <w:p>
            <w:pPr>
              <w:ind w:left="1920"/>
              <w:spacing w:after="0"/>
              <w:rPr>
                <w:sz w:val="20"/>
                <w:szCs w:val="20"/>
                <w:color w:val="auto"/>
              </w:rPr>
            </w:pPr>
            <w:r>
              <w:rPr>
                <w:rFonts w:ascii="Arial" w:cs="Arial" w:eastAsia="Arial" w:hAnsi="Arial"/>
                <w:sz w:val="22"/>
                <w:szCs w:val="22"/>
                <w:color w:val="auto"/>
              </w:rPr>
              <w:t>Stacey M. Roberson</w:t>
            </w:r>
          </w:p>
        </w:tc>
      </w:tr>
      <w:tr>
        <w:trPr>
          <w:trHeight w:val="274"/>
        </w:trPr>
        <w:tc>
          <w:tcPr>
            <w:tcW w:w="3320" w:type="dxa"/>
            <w:vAlign w:val="bottom"/>
          </w:tcPr>
          <w:p>
            <w:pPr>
              <w:spacing w:after="0"/>
              <w:rPr>
                <w:sz w:val="23"/>
                <w:szCs w:val="23"/>
                <w:color w:val="auto"/>
              </w:rPr>
            </w:pPr>
          </w:p>
        </w:tc>
        <w:tc>
          <w:tcPr>
            <w:tcW w:w="6980" w:type="dxa"/>
            <w:vAlign w:val="bottom"/>
            <w:gridSpan w:val="3"/>
          </w:tcPr>
          <w:p>
            <w:pPr>
              <w:ind w:left="1920"/>
              <w:spacing w:after="0"/>
              <w:rPr>
                <w:sz w:val="20"/>
                <w:szCs w:val="20"/>
                <w:color w:val="auto"/>
              </w:rPr>
            </w:pPr>
            <w:r>
              <w:rPr>
                <w:rFonts w:ascii="Arial" w:cs="Arial" w:eastAsia="Arial" w:hAnsi="Arial"/>
                <w:sz w:val="22"/>
                <w:szCs w:val="22"/>
                <w:color w:val="auto"/>
              </w:rPr>
              <w:t>Employee Benefits Committee Member</w:t>
            </w:r>
          </w:p>
        </w:tc>
      </w:tr>
      <w:tr>
        <w:trPr>
          <w:trHeight w:val="715"/>
        </w:trPr>
        <w:tc>
          <w:tcPr>
            <w:tcW w:w="3320" w:type="dxa"/>
            <w:vAlign w:val="bottom"/>
          </w:tcPr>
          <w:p>
            <w:pPr>
              <w:spacing w:after="0"/>
              <w:rPr>
                <w:sz w:val="24"/>
                <w:szCs w:val="24"/>
                <w:color w:val="auto"/>
              </w:rPr>
            </w:pPr>
          </w:p>
        </w:tc>
        <w:tc>
          <w:tcPr>
            <w:tcW w:w="6980" w:type="dxa"/>
            <w:vAlign w:val="bottom"/>
            <w:gridSpan w:val="3"/>
          </w:tcPr>
          <w:p>
            <w:pPr>
              <w:ind w:left="1580"/>
              <w:spacing w:after="0"/>
              <w:rPr>
                <w:sz w:val="20"/>
                <w:szCs w:val="20"/>
                <w:color w:val="auto"/>
              </w:rPr>
            </w:pPr>
            <w:r>
              <w:rPr>
                <w:rFonts w:ascii="Arial" w:cs="Arial" w:eastAsia="Arial" w:hAnsi="Arial"/>
                <w:sz w:val="22"/>
                <w:szCs w:val="22"/>
                <w:color w:val="auto"/>
                <w:w w:val="91"/>
              </w:rPr>
              <w:t>The Savings Plan for Lilly Affiliate Employees in Puerto Rico</w:t>
            </w:r>
          </w:p>
        </w:tc>
      </w:tr>
      <w:tr>
        <w:trPr>
          <w:trHeight w:val="314"/>
        </w:trPr>
        <w:tc>
          <w:tcPr>
            <w:tcW w:w="3320" w:type="dxa"/>
            <w:vAlign w:val="bottom"/>
          </w:tcPr>
          <w:p>
            <w:pPr>
              <w:spacing w:after="0"/>
              <w:rPr>
                <w:sz w:val="20"/>
                <w:szCs w:val="20"/>
                <w:color w:val="auto"/>
              </w:rPr>
            </w:pPr>
            <w:r>
              <w:rPr>
                <w:rFonts w:ascii="Arial" w:cs="Arial" w:eastAsia="Arial" w:hAnsi="Arial"/>
                <w:sz w:val="22"/>
                <w:szCs w:val="22"/>
                <w:color w:val="auto"/>
              </w:rPr>
              <w:t>Date: June 24, 2021</w:t>
            </w:r>
          </w:p>
        </w:tc>
        <w:tc>
          <w:tcPr>
            <w:tcW w:w="6980" w:type="dxa"/>
            <w:vAlign w:val="bottom"/>
            <w:gridSpan w:val="3"/>
          </w:tcPr>
          <w:p>
            <w:pPr>
              <w:ind w:left="1580"/>
              <w:spacing w:after="0"/>
              <w:rPr>
                <w:sz w:val="20"/>
                <w:szCs w:val="20"/>
                <w:color w:val="auto"/>
              </w:rPr>
            </w:pPr>
            <w:r>
              <w:rPr>
                <w:rFonts w:ascii="Arial" w:cs="Arial" w:eastAsia="Arial" w:hAnsi="Arial"/>
                <w:sz w:val="22"/>
                <w:szCs w:val="22"/>
                <w:color w:val="auto"/>
              </w:rPr>
              <w:t>By: /s/ Stacey M. Roberson</w:t>
            </w:r>
          </w:p>
        </w:tc>
      </w:tr>
      <w:tr>
        <w:trPr>
          <w:trHeight w:val="20"/>
        </w:trPr>
        <w:tc>
          <w:tcPr>
            <w:tcW w:w="3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96"/>
        </w:trPr>
        <w:tc>
          <w:tcPr>
            <w:tcW w:w="3320" w:type="dxa"/>
            <w:vAlign w:val="bottom"/>
          </w:tcPr>
          <w:p>
            <w:pPr>
              <w:spacing w:after="0"/>
              <w:rPr>
                <w:sz w:val="24"/>
                <w:szCs w:val="24"/>
                <w:color w:val="auto"/>
              </w:rPr>
            </w:pPr>
          </w:p>
        </w:tc>
        <w:tc>
          <w:tcPr>
            <w:tcW w:w="6980" w:type="dxa"/>
            <w:vAlign w:val="bottom"/>
            <w:gridSpan w:val="3"/>
          </w:tcPr>
          <w:p>
            <w:pPr>
              <w:ind w:left="1920"/>
              <w:spacing w:after="0"/>
              <w:rPr>
                <w:sz w:val="20"/>
                <w:szCs w:val="20"/>
                <w:color w:val="auto"/>
              </w:rPr>
            </w:pPr>
            <w:r>
              <w:rPr>
                <w:rFonts w:ascii="Arial" w:cs="Arial" w:eastAsia="Arial" w:hAnsi="Arial"/>
                <w:sz w:val="22"/>
                <w:szCs w:val="22"/>
                <w:color w:val="auto"/>
              </w:rPr>
              <w:t>Stacey M. Roberson</w:t>
            </w:r>
          </w:p>
        </w:tc>
      </w:tr>
      <w:tr>
        <w:trPr>
          <w:trHeight w:val="274"/>
        </w:trPr>
        <w:tc>
          <w:tcPr>
            <w:tcW w:w="3320" w:type="dxa"/>
            <w:vAlign w:val="bottom"/>
          </w:tcPr>
          <w:p>
            <w:pPr>
              <w:spacing w:after="0"/>
              <w:rPr>
                <w:sz w:val="23"/>
                <w:szCs w:val="23"/>
                <w:color w:val="auto"/>
              </w:rPr>
            </w:pPr>
          </w:p>
        </w:tc>
        <w:tc>
          <w:tcPr>
            <w:tcW w:w="6980" w:type="dxa"/>
            <w:vAlign w:val="bottom"/>
            <w:gridSpan w:val="3"/>
          </w:tcPr>
          <w:p>
            <w:pPr>
              <w:ind w:left="1920"/>
              <w:spacing w:after="0"/>
              <w:rPr>
                <w:sz w:val="20"/>
                <w:szCs w:val="20"/>
                <w:color w:val="auto"/>
              </w:rPr>
            </w:pPr>
            <w:r>
              <w:rPr>
                <w:rFonts w:ascii="Arial" w:cs="Arial" w:eastAsia="Arial" w:hAnsi="Arial"/>
                <w:sz w:val="22"/>
                <w:szCs w:val="22"/>
                <w:color w:val="auto"/>
              </w:rPr>
              <w:t>Employee Benefits Committee Member</w:t>
            </w:r>
          </w:p>
        </w:tc>
      </w:tr>
      <w:tr>
        <w:trPr>
          <w:trHeight w:val="867"/>
        </w:trPr>
        <w:tc>
          <w:tcPr>
            <w:tcW w:w="3320" w:type="dxa"/>
            <w:vAlign w:val="bottom"/>
          </w:tcPr>
          <w:p>
            <w:pPr>
              <w:spacing w:after="0"/>
              <w:rPr>
                <w:sz w:val="24"/>
                <w:szCs w:val="24"/>
                <w:color w:val="auto"/>
              </w:rPr>
            </w:pPr>
          </w:p>
        </w:tc>
        <w:tc>
          <w:tcPr>
            <w:tcW w:w="3960" w:type="dxa"/>
            <w:vAlign w:val="bottom"/>
            <w:gridSpan w:val="2"/>
          </w:tcPr>
          <w:p>
            <w:pPr>
              <w:ind w:left="2200"/>
              <w:spacing w:after="0"/>
              <w:rPr>
                <w:sz w:val="20"/>
                <w:szCs w:val="20"/>
                <w:color w:val="auto"/>
              </w:rPr>
            </w:pPr>
            <w:r>
              <w:rPr>
                <w:rFonts w:ascii="Arial" w:cs="Arial" w:eastAsia="Arial" w:hAnsi="Arial"/>
                <w:sz w:val="18"/>
                <w:szCs w:val="18"/>
                <w:color w:val="auto"/>
              </w:rPr>
              <w:t>22</w:t>
            </w:r>
          </w:p>
        </w:tc>
        <w:tc>
          <w:tcPr>
            <w:tcW w:w="3020" w:type="dxa"/>
            <w:vAlign w:val="bottom"/>
          </w:tcPr>
          <w:p>
            <w:pPr>
              <w:spacing w:after="0"/>
              <w:rPr>
                <w:sz w:val="24"/>
                <w:szCs w:val="24"/>
                <w:color w:val="auto"/>
              </w:rPr>
            </w:pPr>
          </w:p>
        </w:tc>
      </w:tr>
    </w:tbl>
    <w:p>
      <w:pPr>
        <w:sectPr>
          <w:pgSz w:w="11900" w:h="16838" w:orient="portrait"/>
          <w:cols w:equalWidth="0" w:num="1">
            <w:col w:w="11220"/>
          </w:cols>
          <w:pgMar w:left="320" w:top="949" w:right="359" w:bottom="1440" w:gutter="0" w:footer="0" w:header="0"/>
        </w:sectPr>
      </w:pPr>
    </w:p>
    <w:bookmarkStart w:id="22" w:name="page23"/>
    <w:bookmarkEnd w:id="22"/>
    <w:p>
      <w:pPr>
        <w:jc w:val="right"/>
        <w:ind w:right="3879"/>
        <w:spacing w:after="0"/>
        <w:rPr>
          <w:sz w:val="20"/>
          <w:szCs w:val="20"/>
          <w:color w:val="auto"/>
        </w:rPr>
      </w:pPr>
      <w:r>
        <w:rPr>
          <w:rFonts w:ascii="Arial" w:cs="Arial" w:eastAsia="Arial" w:hAnsi="Arial"/>
          <w:sz w:val="22"/>
          <w:szCs w:val="22"/>
          <w:b w:val="1"/>
          <w:bCs w:val="1"/>
          <w:color w:val="auto"/>
        </w:rPr>
        <w:t>Exhibit Index</w:t>
      </w: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color w:val="auto"/>
        </w:rPr>
        <w:t>Exhibit</w:t>
      </w:r>
    </w:p>
    <w:p>
      <w:pPr>
        <w:spacing w:after="0" w:line="112"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u w:val="single" w:color="auto"/>
          <w:color w:val="auto"/>
        </w:rPr>
        <w:t>Number</w:t>
      </w:r>
      <w:r>
        <w:rPr>
          <w:sz w:val="20"/>
          <w:szCs w:val="20"/>
          <w:color w:val="auto"/>
        </w:rPr>
        <w:tab/>
      </w:r>
      <w:r>
        <w:rPr>
          <w:rFonts w:ascii="Arial" w:cs="Arial" w:eastAsia="Arial" w:hAnsi="Arial"/>
          <w:sz w:val="22"/>
          <w:szCs w:val="22"/>
          <w:u w:val="single" w:color="auto"/>
          <w:color w:val="auto"/>
        </w:rPr>
        <w:t>Description</w:t>
      </w:r>
    </w:p>
    <w:p>
      <w:pPr>
        <w:spacing w:after="0" w:line="366" w:lineRule="exact"/>
        <w:rPr>
          <w:sz w:val="20"/>
          <w:szCs w:val="20"/>
          <w:color w:val="auto"/>
        </w:rPr>
      </w:pPr>
    </w:p>
    <w:p>
      <w:pPr>
        <w:ind w:left="760" w:hanging="752"/>
        <w:spacing w:after="0"/>
        <w:tabs>
          <w:tab w:leader="none" w:pos="760" w:val="left"/>
        </w:tabs>
        <w:numPr>
          <w:ilvl w:val="0"/>
          <w:numId w:val="6"/>
        </w:numPr>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Consent of Independent Registered Public Accounting Firm</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139"/>
          </w:cols>
          <w:pgMar w:left="320" w:top="949" w:right="1440" w:bottom="1440" w:gutter="0" w:footer="0" w:header="0"/>
        </w:sectPr>
      </w:pPr>
    </w:p>
    <w:bookmarkStart w:id="23" w:name="page24"/>
    <w:bookmarkEnd w:id="23"/>
    <w:p>
      <w:pPr>
        <w:jc w:val="right"/>
        <w:spacing w:after="0"/>
        <w:rPr>
          <w:sz w:val="20"/>
          <w:szCs w:val="20"/>
          <w:color w:val="auto"/>
        </w:rPr>
      </w:pPr>
      <w:r>
        <w:rPr>
          <w:rFonts w:ascii="Arial" w:cs="Arial" w:eastAsia="Arial" w:hAnsi="Arial"/>
          <w:sz w:val="20"/>
          <w:szCs w:val="20"/>
          <w:b w:val="1"/>
          <w:bCs w:val="1"/>
          <w:color w:val="auto"/>
        </w:rPr>
        <w:t>Exhibit 23</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53" w:lineRule="exact"/>
        <w:rPr>
          <w:sz w:val="20"/>
          <w:szCs w:val="20"/>
          <w:color w:val="auto"/>
        </w:rPr>
      </w:pPr>
    </w:p>
    <w:p>
      <w:pPr>
        <w:ind w:right="60"/>
        <w:spacing w:after="0" w:line="248" w:lineRule="auto"/>
        <w:rPr>
          <w:sz w:val="20"/>
          <w:szCs w:val="20"/>
          <w:color w:val="auto"/>
        </w:rPr>
      </w:pPr>
      <w:r>
        <w:rPr>
          <w:rFonts w:ascii="Arial" w:cs="Arial" w:eastAsia="Arial" w:hAnsi="Arial"/>
          <w:sz w:val="22"/>
          <w:szCs w:val="22"/>
          <w:color w:val="auto"/>
        </w:rPr>
        <w:t>We consent to the incorporation by reference in the Registration Statement (Form S-8 No. 333-172422) pertaining to The Lilly Employee 401(k) Plan and The Savings Plan for Lilly Affiliate Employees in Puerto Rico of Eli Lilly and Company of our report dated June 24, 2021, with respect to the financial statements and schedules of The Lilly Employee 401(k) Plan and The Savings Plan for Lilly Affiliate Employees in Puerto Rico included in this Annual Report (Form 11-K) for the year ended December 31, 2020.</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Indianapolis, Indiana</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June 24,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940"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20"/>
          <w:szCs w:val="20"/>
          <w:b w:val="1"/>
          <w:bCs w:val="1"/>
          <w:color w:val="auto"/>
        </w:rPr>
        <w:t>Exhibit 23</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ind w:right="60"/>
        <w:spacing w:after="0" w:line="226" w:lineRule="auto"/>
        <w:rPr>
          <w:sz w:val="20"/>
          <w:szCs w:val="20"/>
          <w:color w:val="auto"/>
        </w:rPr>
      </w:pPr>
      <w:r>
        <w:rPr>
          <w:rFonts w:ascii="Arial" w:cs="Arial" w:eastAsia="Arial" w:hAnsi="Arial"/>
          <w:sz w:val="22"/>
          <w:szCs w:val="22"/>
          <w:color w:val="auto"/>
        </w:rPr>
        <w:t>We consent to the incorporation by reference in the Registration Statement (Form S-8 No. 333-172422) pertaining to The Lilly Employee 401(k) Plan and The Savings Plan for Lilly Affiliate Employees in Puerto Rico of Eli Lilly and Company of our report dated June 24, 2021, with respect to the financial statements and schedules of The Lilly Employee 401(k) Plan and The Savings Plan for Lilly Affiliate Employees in Puerto Rico included in this Annual Report (Form 11-K) for the year ended December 31, 2020.</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Indianapolis, Indiana</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June 24, 2021</w:t>
      </w:r>
    </w:p>
    <w:sectPr>
      <w:pgSz w:w="11900" w:h="16838" w:orient="portrait"/>
      <w:cols w:equalWidth="0" w:num="1">
        <w:col w:w="11240"/>
      </w:cols>
      <w:pgMar w:left="320" w:top="9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2021-06-24T14:53:51Z</dcterms:created>
  <dcterms:modified xsi:type="dcterms:W3CDTF">2021-06-24T14:53:51Z</dcterms:modified>
</cp:coreProperties>
</file>